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9C" w:rsidRDefault="00C77A9C" w:rsidP="00BA6E66">
      <w:pPr>
        <w:spacing w:after="0"/>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3554"/>
        <w:gridCol w:w="60"/>
      </w:tblGrid>
      <w:tr w:rsidR="00C77A9C" w:rsidRPr="00C77A9C">
        <w:trPr>
          <w:tblCellSpacing w:w="0" w:type="dxa"/>
        </w:trPr>
        <w:tc>
          <w:tcPr>
            <w:tcW w:w="0" w:type="auto"/>
            <w:shd w:val="clear" w:color="auto" w:fill="BB471F"/>
            <w:tcMar>
              <w:top w:w="15" w:type="dxa"/>
              <w:left w:w="75" w:type="dxa"/>
              <w:bottom w:w="15" w:type="dxa"/>
              <w:right w:w="300" w:type="dxa"/>
            </w:tcMar>
            <w:vAlign w:val="center"/>
            <w:hideMark/>
          </w:tcPr>
          <w:p w:rsidR="00C77A9C" w:rsidRPr="00C77A9C" w:rsidRDefault="00C77A9C" w:rsidP="00C77A9C">
            <w:pPr>
              <w:spacing w:after="0" w:line="240" w:lineRule="auto"/>
              <w:rPr>
                <w:rFonts w:ascii="Tahoma" w:eastAsia="Times New Roman" w:hAnsi="Tahoma" w:cs="Tahoma"/>
                <w:caps/>
                <w:color w:val="FFFFFF"/>
                <w:sz w:val="17"/>
                <w:szCs w:val="17"/>
                <w:lang w:eastAsia="ru-RU"/>
              </w:rPr>
            </w:pPr>
            <w:r w:rsidRPr="00C77A9C">
              <w:rPr>
                <w:rFonts w:ascii="Tahoma" w:eastAsia="Times New Roman" w:hAnsi="Tahoma" w:cs="Tahoma"/>
                <w:caps/>
                <w:color w:val="FFFFFF"/>
                <w:sz w:val="17"/>
                <w:szCs w:val="17"/>
                <w:lang w:eastAsia="ru-RU"/>
              </w:rPr>
              <w:t>Ставки государственной пошлины</w:t>
            </w:r>
          </w:p>
        </w:tc>
        <w:tc>
          <w:tcPr>
            <w:tcW w:w="60" w:type="dxa"/>
            <w:shd w:val="clear" w:color="auto" w:fill="BB471F"/>
            <w:vAlign w:val="center"/>
            <w:hideMark/>
          </w:tcPr>
          <w:p w:rsidR="00C77A9C" w:rsidRPr="00C77A9C" w:rsidRDefault="00C77A9C" w:rsidP="00C77A9C">
            <w:pPr>
              <w:spacing w:after="0" w:line="240" w:lineRule="auto"/>
              <w:rPr>
                <w:rFonts w:ascii="Tahoma" w:eastAsia="Times New Roman" w:hAnsi="Tahoma" w:cs="Tahoma"/>
                <w:sz w:val="17"/>
                <w:szCs w:val="17"/>
                <w:lang w:eastAsia="ru-RU"/>
              </w:rPr>
            </w:pPr>
            <w:r w:rsidRPr="00C77A9C">
              <w:rPr>
                <w:rFonts w:ascii="Tahoma" w:eastAsia="Times New Roman" w:hAnsi="Tahoma" w:cs="Tahoma"/>
                <w:noProof/>
                <w:sz w:val="17"/>
                <w:szCs w:val="17"/>
                <w:lang w:eastAsia="ru-RU"/>
              </w:rPr>
              <w:drawing>
                <wp:inline distT="0" distB="0" distL="0" distR="0" wp14:anchorId="6A55D122" wp14:editId="4732F5D1">
                  <wp:extent cx="38100" cy="38100"/>
                  <wp:effectExtent l="0" t="0" r="0" b="0"/>
                  <wp:docPr id="1" name="Рисунок 1" descr="http://minjust.by/images/but_i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just.by/images/but_ite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bl>
    <w:p w:rsidR="00C77A9C" w:rsidRPr="00C77A9C" w:rsidRDefault="00C77A9C" w:rsidP="00C77A9C">
      <w:pPr>
        <w:spacing w:after="0" w:line="240" w:lineRule="auto"/>
        <w:rPr>
          <w:rFonts w:ascii="Tahoma" w:eastAsia="Times New Roman" w:hAnsi="Tahoma" w:cs="Tahoma"/>
          <w:vanish/>
          <w:sz w:val="17"/>
          <w:szCs w:val="17"/>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C77A9C" w:rsidRPr="00C77A9C">
        <w:trPr>
          <w:tblCellSpacing w:w="0" w:type="dxa"/>
        </w:trPr>
        <w:tc>
          <w:tcPr>
            <w:tcW w:w="0" w:type="auto"/>
            <w:vAlign w:val="center"/>
            <w:hideMark/>
          </w:tcPr>
          <w:p w:rsidR="00C77A9C" w:rsidRPr="00C77A9C" w:rsidRDefault="00C77A9C" w:rsidP="00C77A9C">
            <w:pPr>
              <w:spacing w:after="0" w:line="240" w:lineRule="auto"/>
              <w:rPr>
                <w:rFonts w:ascii="Tahoma" w:eastAsia="Times New Roman" w:hAnsi="Tahoma" w:cs="Tahoma"/>
                <w:sz w:val="17"/>
                <w:szCs w:val="17"/>
                <w:lang w:eastAsia="ru-RU"/>
              </w:rPr>
            </w:pPr>
            <w:r w:rsidRPr="00C77A9C">
              <w:rPr>
                <w:rFonts w:ascii="Tahoma" w:eastAsia="Times New Roman" w:hAnsi="Tahoma" w:cs="Tahoma"/>
                <w:noProof/>
                <w:sz w:val="17"/>
                <w:szCs w:val="17"/>
                <w:lang w:eastAsia="ru-RU"/>
              </w:rPr>
              <w:drawing>
                <wp:inline distT="0" distB="0" distL="0" distR="0" wp14:anchorId="7945016E" wp14:editId="249AC7B1">
                  <wp:extent cx="9525" cy="219075"/>
                  <wp:effectExtent l="0" t="0" r="0" b="0"/>
                  <wp:docPr id="2" name="Рисунок 2" descr="http://minjust.by/imag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njust.by/image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p>
        </w:tc>
      </w:tr>
      <w:tr w:rsidR="00C77A9C" w:rsidRPr="00C77A9C">
        <w:trPr>
          <w:tblCellSpacing w:w="0" w:type="dxa"/>
        </w:trPr>
        <w:tc>
          <w:tcPr>
            <w:tcW w:w="0" w:type="auto"/>
            <w:hideMark/>
          </w:tcPr>
          <w:p w:rsidR="00C77A9C" w:rsidRPr="00C77A9C" w:rsidRDefault="00C77A9C" w:rsidP="00C77A9C">
            <w:pPr>
              <w:spacing w:after="0" w:line="240" w:lineRule="auto"/>
              <w:rPr>
                <w:rFonts w:ascii="Tahoma" w:eastAsia="Times New Roman" w:hAnsi="Tahoma" w:cs="Tahoma"/>
                <w:color w:val="333333"/>
                <w:sz w:val="18"/>
                <w:szCs w:val="18"/>
                <w:lang w:eastAsia="ru-RU"/>
              </w:rPr>
            </w:pPr>
            <w:r w:rsidRPr="00C77A9C">
              <w:rPr>
                <w:rFonts w:ascii="Tahoma" w:eastAsia="Times New Roman" w:hAnsi="Tahoma" w:cs="Tahoma"/>
                <w:color w:val="333333"/>
                <w:sz w:val="18"/>
                <w:szCs w:val="18"/>
                <w:lang w:eastAsia="ru-RU"/>
              </w:rPr>
              <w:t xml:space="preserve">Ставки государственной пошлины, уплачиваемой за государственную регистрацию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 и их символики, постоянно действующих международных арбитражных (третейских) судов, фондов, а также за совершение иных юридически значимых действий, включая предоставление определенных прав или выдачу отдельных документов. </w:t>
            </w:r>
          </w:p>
          <w:p w:rsidR="00C77A9C" w:rsidRPr="00C77A9C" w:rsidRDefault="00C77A9C" w:rsidP="00C77A9C">
            <w:pPr>
              <w:spacing w:after="0" w:line="240" w:lineRule="auto"/>
              <w:rPr>
                <w:rFonts w:ascii="Tahoma" w:eastAsia="Times New Roman" w:hAnsi="Tahoma" w:cs="Tahoma"/>
                <w:color w:val="333333"/>
                <w:sz w:val="18"/>
                <w:szCs w:val="18"/>
                <w:lang w:eastAsia="ru-RU"/>
              </w:rPr>
            </w:pPr>
            <w:r w:rsidRPr="00C77A9C">
              <w:rPr>
                <w:rFonts w:ascii="Tahoma" w:eastAsia="Times New Roman" w:hAnsi="Tahoma" w:cs="Tahoma"/>
                <w:color w:val="333333"/>
                <w:sz w:val="18"/>
                <w:szCs w:val="18"/>
                <w:lang w:eastAsia="ru-RU"/>
              </w:rPr>
              <w:t> </w:t>
            </w:r>
          </w:p>
          <w:tbl>
            <w:tblPr>
              <w:tblW w:w="0" w:type="auto"/>
              <w:tblCellMar>
                <w:left w:w="10" w:type="dxa"/>
                <w:right w:w="10" w:type="dxa"/>
              </w:tblCellMar>
              <w:tblLook w:val="04A0" w:firstRow="1" w:lastRow="0" w:firstColumn="1" w:lastColumn="0" w:noHBand="0" w:noVBand="1"/>
            </w:tblPr>
            <w:tblGrid>
              <w:gridCol w:w="5230"/>
              <w:gridCol w:w="3905"/>
              <w:gridCol w:w="220"/>
            </w:tblGrid>
            <w:tr w:rsidR="00C77A9C" w:rsidRPr="00C77A9C">
              <w:tc>
                <w:tcPr>
                  <w:tcW w:w="9650" w:type="dxa"/>
                  <w:gridSpan w:val="3"/>
                  <w:tcBorders>
                    <w:top w:val="nil"/>
                    <w:left w:val="nil"/>
                    <w:bottom w:val="nil"/>
                    <w:right w:val="nil"/>
                  </w:tcBorders>
                  <w:shd w:val="clear" w:color="auto" w:fill="auto"/>
                  <w:vAlign w:val="center"/>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Ставки государственной пошлины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по иным объектам обложения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государственной пошлиной </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Приложение 22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к Налоговому кодексу </w:t>
                  </w:r>
                </w:p>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Республики Беларусь</w:t>
                  </w:r>
                </w:p>
                <w:p w:rsidR="00C77A9C" w:rsidRPr="00C77A9C" w:rsidRDefault="00C77A9C" w:rsidP="00C77A9C">
                  <w:pPr>
                    <w:widowControl w:val="0"/>
                    <w:adjustRightInd w:val="0"/>
                    <w:spacing w:before="120"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(извлечение)</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before="120" w:after="0" w:line="240" w:lineRule="auto"/>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___________________________________________</w:t>
                  </w:r>
                  <w:r w:rsidRPr="00C77A9C">
                    <w:rPr>
                      <w:rFonts w:ascii="Times New Roman" w:eastAsia="Times New Roman" w:hAnsi="Times New Roman" w:cs="Times New Roman"/>
                      <w:sz w:val="24"/>
                      <w:szCs w:val="24"/>
                      <w:lang w:eastAsia="ru-RU"/>
                    </w:rPr>
                    <w:t xml:space="preserve"> </w:t>
                  </w:r>
                </w:p>
                <w:p w:rsidR="00C77A9C" w:rsidRPr="00C77A9C" w:rsidRDefault="00C77A9C" w:rsidP="00C77A9C">
                  <w:pPr>
                    <w:widowControl w:val="0"/>
                    <w:adjustRightInd w:val="0"/>
                    <w:spacing w:before="120" w:after="0" w:line="240" w:lineRule="auto"/>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Наименование документов и действий, за которые взимается государственная пошлина</w:t>
                  </w:r>
                </w:p>
                <w:p w:rsidR="00C77A9C" w:rsidRPr="00C77A9C" w:rsidRDefault="00C77A9C" w:rsidP="00C77A9C">
                  <w:pPr>
                    <w:widowControl w:val="0"/>
                    <w:adjustRightInd w:val="0"/>
                    <w:spacing w:before="120" w:after="0" w:line="240" w:lineRule="auto"/>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p w:rsidR="00C77A9C" w:rsidRPr="00C77A9C" w:rsidRDefault="00C77A9C" w:rsidP="00C77A9C">
                  <w:pPr>
                    <w:widowControl w:val="0"/>
                    <w:adjustRightInd w:val="0"/>
                    <w:spacing w:after="0" w:line="240" w:lineRule="auto"/>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__________________________________________ </w:t>
                  </w:r>
                </w:p>
                <w:p w:rsidR="00C77A9C" w:rsidRPr="00C77A9C" w:rsidRDefault="00C77A9C" w:rsidP="00C77A9C">
                  <w:pPr>
                    <w:widowControl w:val="0"/>
                    <w:adjustRightInd w:val="0"/>
                    <w:spacing w:before="240" w:after="120" w:line="240" w:lineRule="auto"/>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before="120" w:after="0" w:line="240" w:lineRule="auto"/>
                    <w:ind w:right="1797"/>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__________ </w:t>
                  </w:r>
                </w:p>
                <w:p w:rsidR="00C77A9C" w:rsidRPr="00C77A9C" w:rsidRDefault="00C77A9C" w:rsidP="00C77A9C">
                  <w:pPr>
                    <w:widowControl w:val="0"/>
                    <w:adjustRightInd w:val="0"/>
                    <w:spacing w:before="120" w:after="0" w:line="240" w:lineRule="auto"/>
                    <w:ind w:right="1797"/>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Ставки</w:t>
                  </w:r>
                </w:p>
                <w:p w:rsidR="00C77A9C" w:rsidRPr="00C77A9C" w:rsidRDefault="00C77A9C" w:rsidP="00C77A9C">
                  <w:pPr>
                    <w:widowControl w:val="0"/>
                    <w:adjustRightInd w:val="0"/>
                    <w:spacing w:after="0" w:line="240" w:lineRule="auto"/>
                    <w:ind w:right="1795"/>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государственной</w:t>
                  </w:r>
                </w:p>
                <w:p w:rsidR="00C77A9C" w:rsidRPr="00C77A9C" w:rsidRDefault="00C77A9C" w:rsidP="00C77A9C">
                  <w:pPr>
                    <w:widowControl w:val="0"/>
                    <w:adjustRightInd w:val="0"/>
                    <w:spacing w:after="120" w:line="240" w:lineRule="auto"/>
                    <w:ind w:right="1797"/>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пошлины </w:t>
                  </w:r>
                </w:p>
                <w:p w:rsidR="00C77A9C" w:rsidRPr="00C77A9C" w:rsidRDefault="00C77A9C" w:rsidP="00C77A9C">
                  <w:pPr>
                    <w:widowControl w:val="0"/>
                    <w:adjustRightInd w:val="0"/>
                    <w:spacing w:after="0" w:line="240" w:lineRule="auto"/>
                    <w:ind w:right="1797"/>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b/>
                      <w:bCs/>
                      <w:sz w:val="24"/>
                      <w:szCs w:val="24"/>
                      <w:lang w:eastAsia="ru-RU"/>
                    </w:rPr>
                    <w:t xml:space="preserve">____________ </w:t>
                  </w:r>
                </w:p>
                <w:p w:rsidR="00C77A9C" w:rsidRPr="00C77A9C" w:rsidRDefault="00C77A9C" w:rsidP="00C77A9C">
                  <w:pPr>
                    <w:widowControl w:val="0"/>
                    <w:adjustRightInd w:val="0"/>
                    <w:spacing w:after="0" w:line="240" w:lineRule="auto"/>
                    <w:ind w:right="1795"/>
                    <w:jc w:val="center"/>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3. </w:t>
                  </w:r>
                  <w:proofErr w:type="spellStart"/>
                  <w:r w:rsidRPr="00C77A9C">
                    <w:rPr>
                      <w:rFonts w:ascii="Times New Roman" w:eastAsia="Times New Roman" w:hAnsi="Times New Roman" w:cs="Times New Roman"/>
                      <w:sz w:val="24"/>
                      <w:szCs w:val="24"/>
                      <w:lang w:val="en-US" w:eastAsia="ru-RU"/>
                    </w:rPr>
                    <w:t>Государственная</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регистрация</w:t>
                  </w:r>
                  <w:proofErr w:type="spellEnd"/>
                  <w:r w:rsidRPr="00C77A9C">
                    <w:rPr>
                      <w:rFonts w:ascii="Times New Roman" w:eastAsia="Times New Roman" w:hAnsi="Times New Roman" w:cs="Times New Roman"/>
                      <w:sz w:val="24"/>
                      <w:szCs w:val="24"/>
                      <w:lang w:val="en-US" w:eastAsia="ru-RU"/>
                    </w:rPr>
                    <w:t>:</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val="en-US"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3.1. политических партий, их союзов (ассоциаций) и их символики (гимн, значок, вымпел, галстук)</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2</w:t>
                  </w:r>
                  <w:r w:rsidRPr="00C77A9C">
                    <w:rPr>
                      <w:rFonts w:ascii="Times New Roman" w:eastAsia="Times New Roman" w:hAnsi="Times New Roman" w:cs="Times New Roman"/>
                      <w:sz w:val="24"/>
                      <w:szCs w:val="24"/>
                      <w:lang w:val="en-US" w:eastAsia="ru-RU"/>
                    </w:rPr>
                    <w:t xml:space="preserve">0 </w:t>
                  </w:r>
                  <w:proofErr w:type="spellStart"/>
                  <w:r w:rsidRPr="00C77A9C">
                    <w:rPr>
                      <w:rFonts w:ascii="Times New Roman" w:eastAsia="Times New Roman" w:hAnsi="Times New Roman" w:cs="Times New Roman"/>
                      <w:sz w:val="24"/>
                      <w:szCs w:val="24"/>
                      <w:lang w:val="en-US" w:eastAsia="ru-RU"/>
                    </w:rPr>
                    <w:t>базовых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3.2. республиканских общественных объединений, международных общественных объединений, республиканских профессиональных союзов, их союзов (ассоциаций) и их символики (гимн, значок, вымпел, галстук)</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10</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3.3. местных общественных объединений, территориальных профессиональных союзов, профессиональных союзов в организациях, их союзов (ассоциаций) и их символики (гимн, значок, вымпел, галстук)</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5</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3.4. республиканских государственно общественных объединений и их символики, постоянно действующих международных арбитражных (третейских) судов, организаций, обеспечивающих проведение медиации, созданных в качестве некоммерческих организаций</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val="en-US" w:eastAsia="ru-RU"/>
                    </w:rPr>
                    <w:t xml:space="preserve">2 </w:t>
                  </w:r>
                  <w:proofErr w:type="spellStart"/>
                  <w:r w:rsidRPr="00C77A9C">
                    <w:rPr>
                      <w:rFonts w:ascii="Times New Roman" w:eastAsia="Times New Roman" w:hAnsi="Times New Roman" w:cs="Times New Roman"/>
                      <w:sz w:val="24"/>
                      <w:szCs w:val="24"/>
                      <w:lang w:val="en-US" w:eastAsia="ru-RU"/>
                    </w:rPr>
                    <w:t>базовые</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величины</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3.5. изменений и (или) дополнений, внесенных в уставы политических партий, </w:t>
                  </w:r>
                  <w:r w:rsidRPr="00C77A9C">
                    <w:rPr>
                      <w:rFonts w:ascii="Times New Roman" w:eastAsia="Times New Roman" w:hAnsi="Times New Roman" w:cs="Times New Roman"/>
                      <w:sz w:val="24"/>
                      <w:szCs w:val="24"/>
                      <w:lang w:eastAsia="ru-RU"/>
                    </w:rPr>
                    <w:lastRenderedPageBreak/>
                    <w:t>профессиональных союзов, иных общественных объединений, их союзов (ассоциаций), постоянно действующих международных арбитражных (третейских) судов</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lastRenderedPageBreak/>
                    <w:t xml:space="preserve">30 процентов ставки, установленной за государственную регистрацию </w:t>
                  </w:r>
                  <w:r w:rsidRPr="00C77A9C">
                    <w:rPr>
                      <w:rFonts w:ascii="Times New Roman" w:eastAsia="Times New Roman" w:hAnsi="Times New Roman" w:cs="Times New Roman"/>
                      <w:sz w:val="24"/>
                      <w:szCs w:val="24"/>
                      <w:lang w:eastAsia="ru-RU"/>
                    </w:rPr>
                    <w:lastRenderedPageBreak/>
                    <w:t>политических партий, профессиональных союзов, иных общественных объединений, их союзов (ассоциаций) и их символики, постоянно действующих международных арбитражных (третейских) судов</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lastRenderedPageBreak/>
                    <w:t>3.6. символики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 если она происходит не одновременно с государственной регистрацией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50 процентов ставки, установленной за их государственную регистрацию</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3.7. организационных структур политических партий, профессиональных союзов, иных общественных объединений, республиканских государственно-общественных объединений, наделенных правами юридического лица</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val="en-US" w:eastAsia="ru-RU"/>
                    </w:rPr>
                    <w:t xml:space="preserve">0,2 </w:t>
                  </w:r>
                  <w:proofErr w:type="spellStart"/>
                  <w:r w:rsidRPr="00C77A9C">
                    <w:rPr>
                      <w:rFonts w:ascii="Times New Roman" w:eastAsia="Times New Roman" w:hAnsi="Times New Roman" w:cs="Times New Roman"/>
                      <w:sz w:val="24"/>
                      <w:szCs w:val="24"/>
                      <w:lang w:val="en-US" w:eastAsia="ru-RU"/>
                    </w:rPr>
                    <w:t>базовой</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величины</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4. </w:t>
                  </w:r>
                  <w:proofErr w:type="spellStart"/>
                  <w:r w:rsidRPr="00C77A9C">
                    <w:rPr>
                      <w:rFonts w:ascii="Times New Roman" w:eastAsia="Times New Roman" w:hAnsi="Times New Roman" w:cs="Times New Roman"/>
                      <w:sz w:val="24"/>
                      <w:szCs w:val="24"/>
                      <w:lang w:val="en-US" w:eastAsia="ru-RU"/>
                    </w:rPr>
                    <w:t>Выдача</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дубликата</w:t>
                  </w:r>
                  <w:proofErr w:type="spellEnd"/>
                  <w:r w:rsidRPr="00C77A9C">
                    <w:rPr>
                      <w:rFonts w:ascii="Times New Roman" w:eastAsia="Times New Roman" w:hAnsi="Times New Roman" w:cs="Times New Roman"/>
                      <w:sz w:val="24"/>
                      <w:szCs w:val="24"/>
                      <w:lang w:val="en-US" w:eastAsia="ru-RU"/>
                    </w:rPr>
                    <w:t>:</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val="en-US"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4.1. свидетельства о государственной регистрации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постоянно действующего международного арбитражного (третейского) суда, Белорусской нотариальной палаты</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25 процентов ставки, установленной за государственную регистрацию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и их символики, постоянно действующего международного арбитражного (третейского) суда, Белорусской нотариальной палаты</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4.2. устава с отметками о государственной регистрации политической партии, профессионального союза, иного общественного объединения, их союза (ассоциации), постоянно действующего международного арбитражного (третейского) суда, Белорусской нотариальной палаты</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25 процентов ставки, установленной за государственную регистрацию политической партии, профессионального союза, иного общественного объединения, их союза (ассоциации) и их символики, постоянно действующего международного арбитражного (третейского) суда, Белорусской нотариальной палаты</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5. Постановка на учет организационных структур политических партий, профессиональных союзов, иных общественных объединений, республиканских </w:t>
                  </w:r>
                  <w:r w:rsidRPr="00BE474B">
                    <w:rPr>
                      <w:rFonts w:ascii="Times New Roman" w:eastAsia="Times New Roman" w:hAnsi="Times New Roman" w:cs="Times New Roman"/>
                      <w:sz w:val="24"/>
                      <w:szCs w:val="24"/>
                      <w:highlight w:val="yellow"/>
                      <w:lang w:eastAsia="ru-RU"/>
                    </w:rPr>
                    <w:t>государственно-общественных объединений</w:t>
                  </w:r>
                  <w:r w:rsidRPr="00C77A9C">
                    <w:rPr>
                      <w:rFonts w:ascii="Times New Roman" w:eastAsia="Times New Roman" w:hAnsi="Times New Roman" w:cs="Times New Roman"/>
                      <w:sz w:val="24"/>
                      <w:szCs w:val="24"/>
                      <w:lang w:eastAsia="ru-RU"/>
                    </w:rPr>
                    <w:t xml:space="preserve">, не являющихся юридическими </w:t>
                  </w:r>
                  <w:r w:rsidRPr="00C77A9C">
                    <w:rPr>
                      <w:rFonts w:ascii="Times New Roman" w:eastAsia="Times New Roman" w:hAnsi="Times New Roman" w:cs="Times New Roman"/>
                      <w:sz w:val="24"/>
                      <w:szCs w:val="24"/>
                      <w:lang w:eastAsia="ru-RU"/>
                    </w:rPr>
                    <w:lastRenderedPageBreak/>
                    <w:t>лицами, организаций, обеспечивающих проведение медиации, созданных в качестве обособленного подразделения юридического лица</w:t>
                  </w:r>
                </w:p>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5.1 постоянно действующего третейского суда, созданного в качестве некоммерческой организации</w:t>
                  </w:r>
                </w:p>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5.1.2 изменений и (или) дополнений, внесенных в устав постоянно действующего третейского суда, созданного в качестве некоммерческой организации</w:t>
                  </w:r>
                </w:p>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5.2 постановка на учет постоянно действующего третейского суда, созданного в качестве обособленного подразделения (подразделения) юридического лица</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highlight w:val="yellow"/>
                      <w:lang w:val="en-US" w:eastAsia="ru-RU"/>
                    </w:rPr>
                    <w:lastRenderedPageBreak/>
                    <w:t xml:space="preserve">0,1 </w:t>
                  </w:r>
                  <w:proofErr w:type="spellStart"/>
                  <w:r w:rsidRPr="00C77A9C">
                    <w:rPr>
                      <w:rFonts w:ascii="Times New Roman" w:eastAsia="Times New Roman" w:hAnsi="Times New Roman" w:cs="Times New Roman"/>
                      <w:sz w:val="24"/>
                      <w:szCs w:val="24"/>
                      <w:highlight w:val="yellow"/>
                      <w:lang w:val="en-US" w:eastAsia="ru-RU"/>
                    </w:rPr>
                    <w:t>базовой</w:t>
                  </w:r>
                  <w:proofErr w:type="spellEnd"/>
                  <w:r w:rsidRPr="00C77A9C">
                    <w:rPr>
                      <w:rFonts w:ascii="Times New Roman" w:eastAsia="Times New Roman" w:hAnsi="Times New Roman" w:cs="Times New Roman"/>
                      <w:sz w:val="24"/>
                      <w:szCs w:val="24"/>
                      <w:highlight w:val="yellow"/>
                      <w:lang w:val="en-US" w:eastAsia="ru-RU"/>
                    </w:rPr>
                    <w:t xml:space="preserve"> </w:t>
                  </w:r>
                  <w:proofErr w:type="spellStart"/>
                  <w:r w:rsidRPr="00C77A9C">
                    <w:rPr>
                      <w:rFonts w:ascii="Times New Roman" w:eastAsia="Times New Roman" w:hAnsi="Times New Roman" w:cs="Times New Roman"/>
                      <w:sz w:val="24"/>
                      <w:szCs w:val="24"/>
                      <w:highlight w:val="yellow"/>
                      <w:lang w:val="en-US" w:eastAsia="ru-RU"/>
                    </w:rPr>
                    <w:t>величины</w:t>
                  </w:r>
                  <w:bookmarkStart w:id="0" w:name="_GoBack"/>
                  <w:bookmarkEnd w:id="0"/>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lastRenderedPageBreak/>
                    <w:t xml:space="preserve">6. </w:t>
                  </w:r>
                  <w:proofErr w:type="spellStart"/>
                  <w:r w:rsidRPr="00C77A9C">
                    <w:rPr>
                      <w:rFonts w:ascii="Times New Roman" w:eastAsia="Times New Roman" w:hAnsi="Times New Roman" w:cs="Times New Roman"/>
                      <w:sz w:val="24"/>
                      <w:szCs w:val="24"/>
                      <w:lang w:val="en-US" w:eastAsia="ru-RU"/>
                    </w:rPr>
                    <w:t>Государственная</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регистрация</w:t>
                  </w:r>
                  <w:proofErr w:type="spellEnd"/>
                  <w:r w:rsidRPr="00C77A9C">
                    <w:rPr>
                      <w:rFonts w:ascii="Times New Roman" w:eastAsia="Times New Roman" w:hAnsi="Times New Roman" w:cs="Times New Roman"/>
                      <w:sz w:val="24"/>
                      <w:szCs w:val="24"/>
                      <w:lang w:val="en-US" w:eastAsia="ru-RU"/>
                    </w:rPr>
                    <w:t>:</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val="en-US"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w:t>
                  </w:r>
                  <w:r w:rsidRPr="00C77A9C">
                    <w:rPr>
                      <w:rFonts w:ascii="Times New Roman" w:eastAsia="Times New Roman" w:hAnsi="Times New Roman" w:cs="Times New Roman"/>
                      <w:sz w:val="24"/>
                      <w:szCs w:val="24"/>
                      <w:lang w:val="en-US" w:eastAsia="ru-RU"/>
                    </w:rPr>
                    <w:t xml:space="preserve">1. </w:t>
                  </w:r>
                  <w:proofErr w:type="spellStart"/>
                  <w:r w:rsidRPr="00C77A9C">
                    <w:rPr>
                      <w:rFonts w:ascii="Times New Roman" w:eastAsia="Times New Roman" w:hAnsi="Times New Roman" w:cs="Times New Roman"/>
                      <w:sz w:val="24"/>
                      <w:szCs w:val="24"/>
                      <w:lang w:val="en-US" w:eastAsia="ru-RU"/>
                    </w:rPr>
                    <w:t>создаваемых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реорганизуемых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местных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фондов</w:t>
                  </w:r>
                  <w:proofErr w:type="spellEnd"/>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5</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6.2. создаваемых (реорганизуемых) республиканских и международных фондов, созданных на территории Республики Беларусь</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10</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6.3. изменений и (или) дополнений, вносимых в уставы:</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567"/>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w:t>
                  </w:r>
                  <w:r w:rsidRPr="00C77A9C">
                    <w:rPr>
                      <w:rFonts w:ascii="Times New Roman" w:eastAsia="Times New Roman" w:hAnsi="Times New Roman" w:cs="Times New Roman"/>
                      <w:sz w:val="24"/>
                      <w:szCs w:val="24"/>
                      <w:lang w:val="en-US" w:eastAsia="ru-RU"/>
                    </w:rPr>
                    <w:t xml:space="preserve">3.1. </w:t>
                  </w:r>
                  <w:proofErr w:type="spellStart"/>
                  <w:r w:rsidRPr="00C77A9C">
                    <w:rPr>
                      <w:rFonts w:ascii="Times New Roman" w:eastAsia="Times New Roman" w:hAnsi="Times New Roman" w:cs="Times New Roman"/>
                      <w:sz w:val="24"/>
                      <w:szCs w:val="24"/>
                      <w:lang w:val="en-US" w:eastAsia="ru-RU"/>
                    </w:rPr>
                    <w:t>местных</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фондов</w:t>
                  </w:r>
                  <w:proofErr w:type="spellEnd"/>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1</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w:t>
                  </w:r>
                  <w:r w:rsidRPr="00C77A9C">
                    <w:rPr>
                      <w:rFonts w:ascii="Times New Roman" w:eastAsia="Times New Roman" w:hAnsi="Times New Roman" w:cs="Times New Roman"/>
                      <w:sz w:val="24"/>
                      <w:szCs w:val="24"/>
                      <w:lang w:eastAsia="ru-RU"/>
                    </w:rPr>
                    <w:t>ая</w:t>
                  </w:r>
                  <w:proofErr w:type="spellEnd"/>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r w:rsidRPr="00C77A9C">
                    <w:rPr>
                      <w:rFonts w:ascii="Times New Roman" w:eastAsia="Times New Roman" w:hAnsi="Times New Roman" w:cs="Times New Roman"/>
                      <w:sz w:val="24"/>
                      <w:szCs w:val="24"/>
                      <w:lang w:eastAsia="ru-RU"/>
                    </w:rPr>
                    <w:t>а</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567"/>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6.3.2. республиканских и международных фондов, созданных на территории Республики Беларусь</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3</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базовы</w:t>
                  </w:r>
                  <w:proofErr w:type="spellEnd"/>
                  <w:r w:rsidRPr="00C77A9C">
                    <w:rPr>
                      <w:rFonts w:ascii="Times New Roman" w:eastAsia="Times New Roman" w:hAnsi="Times New Roman" w:cs="Times New Roman"/>
                      <w:sz w:val="24"/>
                      <w:szCs w:val="24"/>
                      <w:lang w:eastAsia="ru-RU"/>
                    </w:rPr>
                    <w:t>е</w:t>
                  </w:r>
                  <w:r w:rsidRPr="00C77A9C">
                    <w:rPr>
                      <w:rFonts w:ascii="Times New Roman" w:eastAsia="Times New Roman" w:hAnsi="Times New Roman" w:cs="Times New Roman"/>
                      <w:sz w:val="24"/>
                      <w:szCs w:val="24"/>
                      <w:lang w:val="en-US" w:eastAsia="ru-RU"/>
                    </w:rPr>
                    <w:t xml:space="preserve"> </w:t>
                  </w:r>
                  <w:proofErr w:type="spellStart"/>
                  <w:r w:rsidRPr="00C77A9C">
                    <w:rPr>
                      <w:rFonts w:ascii="Times New Roman" w:eastAsia="Times New Roman" w:hAnsi="Times New Roman" w:cs="Times New Roman"/>
                      <w:sz w:val="24"/>
                      <w:szCs w:val="24"/>
                      <w:lang w:val="en-US" w:eastAsia="ru-RU"/>
                    </w:rPr>
                    <w:t>величин</w:t>
                  </w:r>
                  <w:proofErr w:type="spellEnd"/>
                  <w:r w:rsidRPr="00C77A9C">
                    <w:rPr>
                      <w:rFonts w:ascii="Times New Roman" w:eastAsia="Times New Roman" w:hAnsi="Times New Roman" w:cs="Times New Roman"/>
                      <w:sz w:val="24"/>
                      <w:szCs w:val="24"/>
                      <w:lang w:eastAsia="ru-RU"/>
                    </w:rPr>
                    <w:t>ы</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ind w:firstLine="284"/>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6.4. изменений и (или) дополнений, вносимых в уставы фондов в связи с изменением их вида</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по ставке, установленной для государственной регистрации фонда того вида, который предусмотрен такими изменениями и (или) дополнениями</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7. Выдача дубликата свидетельства о государственной регистрации фонда и (или) устава с отметками о государственной регистрации (при их утрате)</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25 процентов ставки, установленной за государственную регистрацию фонда</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10-2. Государственная регистрация Белорусской нотариальной палаты, изменений и (или) дополнений, вносимых в ее устав</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2 базовые величины</w:t>
                  </w:r>
                </w:p>
              </w:tc>
            </w:tr>
            <w:tr w:rsidR="00C77A9C" w:rsidRPr="00C77A9C">
              <w:trPr>
                <w:gridAfter w:val="1"/>
                <w:wAfter w:w="315" w:type="dxa"/>
              </w:trPr>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40. Выдача удостоверения руководителя некоммерческой организации</w:t>
                  </w:r>
                </w:p>
              </w:tc>
              <w:tc>
                <w:tcPr>
                  <w:tcW w:w="4080"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1 базовая величина</w:t>
                  </w:r>
                </w:p>
              </w:tc>
            </w:tr>
            <w:tr w:rsidR="00C77A9C" w:rsidRPr="00C77A9C">
              <w:tc>
                <w:tcPr>
                  <w:tcW w:w="5255" w:type="dxa"/>
                  <w:tcBorders>
                    <w:top w:val="nil"/>
                    <w:left w:val="nil"/>
                    <w:bottom w:val="nil"/>
                    <w:right w:val="nil"/>
                  </w:tcBorders>
                  <w:shd w:val="clear" w:color="auto" w:fill="auto"/>
                  <w:hideMark/>
                </w:tcPr>
                <w:p w:rsidR="00C77A9C" w:rsidRPr="00C77A9C" w:rsidRDefault="00C77A9C" w:rsidP="00C77A9C">
                  <w:pPr>
                    <w:widowControl w:val="0"/>
                    <w:adjustRightInd w:val="0"/>
                    <w:spacing w:after="120" w:line="240" w:lineRule="auto"/>
                    <w:rPr>
                      <w:rFonts w:ascii="Times New Roman" w:eastAsia="Times New Roman" w:hAnsi="Times New Roman" w:cs="Times New Roman"/>
                      <w:sz w:val="24"/>
                      <w:szCs w:val="24"/>
                      <w:lang w:eastAsia="ru-RU"/>
                    </w:rPr>
                  </w:pPr>
                  <w:r w:rsidRPr="00C77A9C">
                    <w:rPr>
                      <w:rFonts w:ascii="Times New Roman" w:eastAsia="Times New Roman" w:hAnsi="Times New Roman" w:cs="Times New Roman"/>
                      <w:sz w:val="24"/>
                      <w:szCs w:val="24"/>
                      <w:lang w:eastAsia="ru-RU"/>
                    </w:rPr>
                    <w:t xml:space="preserve">79. Предоставление информации по каждому субъекту, содержащейся в Едином государственном регистре юридических лиц и индивидуальных предпринимателей, Государственном реестре морских судов Республики Беларусь, Государственном судовом </w:t>
                  </w:r>
                  <w:r w:rsidRPr="00C77A9C">
                    <w:rPr>
                      <w:rFonts w:ascii="Times New Roman" w:eastAsia="Times New Roman" w:hAnsi="Times New Roman" w:cs="Times New Roman"/>
                      <w:sz w:val="24"/>
                      <w:szCs w:val="24"/>
                      <w:lang w:eastAsia="ru-RU"/>
                    </w:rPr>
                    <w:lastRenderedPageBreak/>
                    <w:t xml:space="preserve">реестре Республики Беларусь или судовой книге, реестре специальных разрешений (лицензий),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 </w:t>
                  </w:r>
                </w:p>
              </w:tc>
              <w:tc>
                <w:tcPr>
                  <w:tcW w:w="0" w:type="auto"/>
                  <w:vAlign w:val="center"/>
                  <w:hideMark/>
                </w:tcPr>
                <w:p w:rsidR="00C77A9C" w:rsidRPr="00C77A9C" w:rsidRDefault="00C77A9C" w:rsidP="00C77A9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77A9C" w:rsidRPr="00C77A9C" w:rsidRDefault="00C77A9C" w:rsidP="00C77A9C">
                  <w:pPr>
                    <w:spacing w:after="0" w:line="240" w:lineRule="auto"/>
                    <w:rPr>
                      <w:rFonts w:ascii="Times New Roman" w:eastAsia="Times New Roman" w:hAnsi="Times New Roman" w:cs="Times New Roman"/>
                      <w:sz w:val="20"/>
                      <w:szCs w:val="20"/>
                      <w:lang w:eastAsia="ru-RU"/>
                    </w:rPr>
                  </w:pPr>
                </w:p>
              </w:tc>
            </w:tr>
          </w:tbl>
          <w:p w:rsidR="00C77A9C" w:rsidRPr="00C77A9C" w:rsidRDefault="00C77A9C" w:rsidP="00C77A9C">
            <w:pPr>
              <w:spacing w:after="0" w:line="240" w:lineRule="auto"/>
              <w:rPr>
                <w:rFonts w:ascii="Tahoma" w:eastAsia="Times New Roman" w:hAnsi="Tahoma" w:cs="Tahoma"/>
                <w:color w:val="333333"/>
                <w:sz w:val="18"/>
                <w:szCs w:val="18"/>
                <w:lang w:eastAsia="ru-RU"/>
              </w:rPr>
            </w:pPr>
          </w:p>
        </w:tc>
      </w:tr>
    </w:tbl>
    <w:p w:rsidR="00C77A9C" w:rsidRPr="00BA6E66" w:rsidRDefault="00C77A9C" w:rsidP="00BA6E66">
      <w:pPr>
        <w:spacing w:after="0"/>
        <w:rPr>
          <w:rFonts w:ascii="Times New Roman" w:hAnsi="Times New Roman" w:cs="Times New Roman"/>
        </w:rPr>
      </w:pPr>
    </w:p>
    <w:p w:rsidR="00BD4E3C" w:rsidRPr="00BA6E66" w:rsidRDefault="00BD4E3C" w:rsidP="00BA6E66">
      <w:pPr>
        <w:spacing w:after="0"/>
        <w:rPr>
          <w:rFonts w:ascii="Times New Roman" w:hAnsi="Times New Roman" w:cs="Times New Roman"/>
        </w:rPr>
      </w:pPr>
    </w:p>
    <w:p w:rsidR="00BA6E66" w:rsidRPr="00BA6E66" w:rsidRDefault="00BA6E66">
      <w:pPr>
        <w:spacing w:after="0"/>
        <w:rPr>
          <w:rFonts w:ascii="Times New Roman" w:hAnsi="Times New Roman" w:cs="Times New Roman"/>
        </w:rPr>
      </w:pPr>
    </w:p>
    <w:sectPr w:rsidR="00BA6E66" w:rsidRPr="00BA6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52"/>
    <w:rsid w:val="00246B52"/>
    <w:rsid w:val="00BA6E66"/>
    <w:rsid w:val="00BD4E3C"/>
    <w:rsid w:val="00BE474B"/>
    <w:rsid w:val="00C7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13CB-B1DF-41DD-9D2B-8EB3D98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cp:revision>
  <cp:lastPrinted>2015-01-28T08:23:00Z</cp:lastPrinted>
  <dcterms:created xsi:type="dcterms:W3CDTF">2015-01-28T08:16:00Z</dcterms:created>
  <dcterms:modified xsi:type="dcterms:W3CDTF">2015-03-04T12:14:00Z</dcterms:modified>
</cp:coreProperties>
</file>