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7554" w:rsidRDefault="00B57554">
      <w:pPr>
        <w:pStyle w:val="titlencpi"/>
      </w:pPr>
      <w:bookmarkStart w:id="0" w:name="_GoBack"/>
      <w:r>
        <w:t>Соглашение о пенсионном обеспечении трудящихся государств – членов Евразийского экономического союза</w:t>
      </w:r>
    </w:p>
    <w:bookmarkEnd w:id="0"/>
    <w:p w:rsidR="00B57554" w:rsidRDefault="00B57554">
      <w:pPr>
        <w:pStyle w:val="newncpi"/>
      </w:pPr>
      <w:r>
        <w:t>Государства – члены Евразийского экономического союза, далее именуемые государствами-членами,</w:t>
      </w:r>
    </w:p>
    <w:p w:rsidR="00B57554" w:rsidRDefault="00B57554">
      <w:pPr>
        <w:pStyle w:val="newncpi"/>
      </w:pPr>
      <w:r>
        <w:t>руководствуясь стремлением урегулировать отношения в сфере пенсионного обеспечения своих граждан,</w:t>
      </w:r>
    </w:p>
    <w:p w:rsidR="00B57554" w:rsidRDefault="00B57554">
      <w:pPr>
        <w:pStyle w:val="newncpi"/>
      </w:pPr>
      <w:r>
        <w:t>основываясь на Договоре о Евразийском экономическом союзе от 29 мая 2014 года,</w:t>
      </w:r>
    </w:p>
    <w:p w:rsidR="00B57554" w:rsidRDefault="00B57554">
      <w:pPr>
        <w:pStyle w:val="newncpi"/>
      </w:pPr>
      <w:r>
        <w:t>согласились о нижеследующем:</w:t>
      </w:r>
    </w:p>
    <w:p w:rsidR="00B57554" w:rsidRDefault="00B57554">
      <w:pPr>
        <w:pStyle w:val="articlect"/>
      </w:pPr>
      <w:r>
        <w:t>Статья 1</w:t>
      </w:r>
      <w:r>
        <w:br/>
        <w:t>Определения</w:t>
      </w:r>
    </w:p>
    <w:p w:rsidR="00B57554" w:rsidRDefault="00B57554">
      <w:pPr>
        <w:pStyle w:val="newncpi"/>
      </w:pPr>
      <w:r>
        <w:t>Для целей настоящего Соглашения используются понятия, которые означают следующее:</w:t>
      </w:r>
    </w:p>
    <w:p w:rsidR="00B57554" w:rsidRDefault="00B57554">
      <w:pPr>
        <w:pStyle w:val="newncpi"/>
      </w:pPr>
      <w:r>
        <w:t>«государство проживания» – государство-член, на территории которого находится местожительство трудящегося;</w:t>
      </w:r>
    </w:p>
    <w:p w:rsidR="00B57554" w:rsidRDefault="00B57554">
      <w:pPr>
        <w:pStyle w:val="newncpi"/>
      </w:pPr>
      <w:r>
        <w:t>«государство трудоустройства» – государство-член, на территории которого у трудящегося формируются либо формировались пенсионные права;</w:t>
      </w:r>
    </w:p>
    <w:p w:rsidR="00B57554" w:rsidRDefault="00B57554">
      <w:pPr>
        <w:pStyle w:val="newncpi"/>
      </w:pPr>
      <w:r>
        <w:t>«компетентный орган» – учреждение (организация) государства-члена, в компетенцию которого входят вопросы, касающиеся реализации законодательства своего государства в области пенсионного обеспечения;</w:t>
      </w:r>
    </w:p>
    <w:p w:rsidR="00B57554" w:rsidRDefault="00B57554">
      <w:pPr>
        <w:pStyle w:val="newncpi"/>
      </w:pPr>
      <w:r>
        <w:t>«местожительство» – место проживания трудящегося, определяемое или признаваемое в качестве такового в соответствии с законодательством государства-члена;</w:t>
      </w:r>
    </w:p>
    <w:p w:rsidR="00B57554" w:rsidRDefault="00B57554">
      <w:pPr>
        <w:pStyle w:val="newncpi"/>
      </w:pPr>
      <w:r>
        <w:t>«накопительные пенсии» – обязательная накопительная пенсия в Республике Армения, пенсионные выплаты из единого накопительного пенсионного фонда за счет сформированных пенсионных взносов в Республике Казахстан, накопительная часть пенсии и выплаты за счет средств пенсионных накоплений в Кыргызской Республике, накопительная пенсия и иные выплаты за счет средств пенсионных накоплений в Российской Федерации;</w:t>
      </w:r>
    </w:p>
    <w:p w:rsidR="00B57554" w:rsidRDefault="00B57554">
      <w:pPr>
        <w:pStyle w:val="newncpi"/>
      </w:pPr>
      <w:r>
        <w:t>«обработка персональных данных» – любое действие (операция), совершаемое с персональными данными с использованием или без использования средств автоматизации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или совокупность таких действий (операций);</w:t>
      </w:r>
    </w:p>
    <w:p w:rsidR="00B57554" w:rsidRDefault="00B57554">
      <w:pPr>
        <w:pStyle w:val="newncpi"/>
      </w:pPr>
      <w:r>
        <w:t>«пенсии» – денежные выплаты, указанные в пункте 2 статьи 2 настоящего Соглашения, включая выплаты (доплаты) и повышения, устанавливаемые к пенсии в соответствии с законодательством государства-члена;</w:t>
      </w:r>
    </w:p>
    <w:p w:rsidR="00B57554" w:rsidRDefault="00B57554">
      <w:pPr>
        <w:pStyle w:val="newncpi"/>
      </w:pPr>
      <w:r>
        <w:t>«пенсионные взносы»:</w:t>
      </w:r>
    </w:p>
    <w:p w:rsidR="00B57554" w:rsidRDefault="00B57554">
      <w:pPr>
        <w:pStyle w:val="newncpi"/>
      </w:pPr>
      <w:r>
        <w:t>в Республике Армения – налоги и (или) иные взносы, дающие право на пенсию;</w:t>
      </w:r>
    </w:p>
    <w:p w:rsidR="00B57554" w:rsidRDefault="00B57554">
      <w:pPr>
        <w:pStyle w:val="newncpi"/>
      </w:pPr>
      <w:r>
        <w:t>в Республике Беларусь – страховые взносы на обязательное пенсионное страхование;</w:t>
      </w:r>
    </w:p>
    <w:p w:rsidR="00B57554" w:rsidRDefault="00B57554">
      <w:pPr>
        <w:pStyle w:val="newncpi"/>
      </w:pPr>
      <w:r>
        <w:t>в Республике Казахстан – пенсионные взносы в единый накопительный пенсионный фонд;</w:t>
      </w:r>
    </w:p>
    <w:p w:rsidR="00B57554" w:rsidRDefault="00B57554">
      <w:pPr>
        <w:pStyle w:val="newncpi"/>
      </w:pPr>
      <w:r>
        <w:t>в Кыргызской Республике – страховые взносы в Пенсионный фонд и Государственный накопительный пенсионный фонд;</w:t>
      </w:r>
    </w:p>
    <w:p w:rsidR="00B57554" w:rsidRDefault="00B57554">
      <w:pPr>
        <w:pStyle w:val="newncpi"/>
      </w:pPr>
      <w:r>
        <w:t>в Российской Федерации – страховые взносы на обязательное пенсионное страхование;</w:t>
      </w:r>
    </w:p>
    <w:p w:rsidR="00B57554" w:rsidRDefault="00B57554">
      <w:pPr>
        <w:pStyle w:val="newncpi"/>
      </w:pPr>
      <w:r>
        <w:t>«персональные данные» – сведения на электронном, бумажном и (или) ином материальном носителе, относящиеся к определенному или определяемому на их основании субъекту персональных данных, которые прямо или косвенно позволяют идентифицировать личность субъекта;</w:t>
      </w:r>
    </w:p>
    <w:p w:rsidR="00B57554" w:rsidRDefault="00B57554">
      <w:pPr>
        <w:pStyle w:val="newncpi"/>
      </w:pPr>
      <w:r>
        <w:t>«стаж работы» – период работы и (или) иной деятельности (в том числе с уплатой пенсионных взносов), а также иные периоды, учитываемые в соответствии с законодательством государства-члена при определении права на пенсию и исчислении ее размера;</w:t>
      </w:r>
    </w:p>
    <w:p w:rsidR="00B57554" w:rsidRDefault="00B57554">
      <w:pPr>
        <w:pStyle w:val="newncpi"/>
      </w:pPr>
      <w:r>
        <w:t>«трудящийся» – гражданин государства-члена, у которого формируются либо формировались пенсионные права посредством осуществления трудовой или иной деятельности на территории другого государства-члена;</w:t>
      </w:r>
    </w:p>
    <w:p w:rsidR="00B57554" w:rsidRDefault="00B57554">
      <w:pPr>
        <w:pStyle w:val="newncpi"/>
      </w:pPr>
      <w:r>
        <w:t>«уполномоченные органы» – органы исполнительной власти государства-члена, осуществляющие регулирование в сфере пенсионного обеспечения и (или) регламентирующие деятельность органов (учреждений), осуществляющих проведение медико-социальной экспертизы (комплексного освидетельствования);</w:t>
      </w:r>
    </w:p>
    <w:p w:rsidR="00B57554" w:rsidRDefault="00B57554">
      <w:pPr>
        <w:pStyle w:val="newncpi"/>
      </w:pPr>
      <w:r>
        <w:t>«член семьи» – лицо, состоящее в браке с трудящимся, а также находящиеся на его иждивении дети и другие лица, которые признаются членами семьи в соответствии с законодательством государства трудоустройства.</w:t>
      </w:r>
    </w:p>
    <w:p w:rsidR="00B57554" w:rsidRDefault="00B57554">
      <w:pPr>
        <w:pStyle w:val="newncpi"/>
      </w:pPr>
      <w:r>
        <w:t>Иные понятия, используемые в настоящем Соглашении, применяются в значениях, определенных Договором о Евразийском экономическом союзе от 29 мая 2014 года и законодательством соответствующего государства-члена.</w:t>
      </w:r>
    </w:p>
    <w:p w:rsidR="00B57554" w:rsidRDefault="00B57554">
      <w:pPr>
        <w:pStyle w:val="articlect"/>
      </w:pPr>
      <w:r>
        <w:t>Статья 2</w:t>
      </w:r>
      <w:r>
        <w:br/>
        <w:t>Круг лиц и сфера применения</w:t>
      </w:r>
    </w:p>
    <w:p w:rsidR="00B57554" w:rsidRDefault="00B57554">
      <w:pPr>
        <w:pStyle w:val="point"/>
      </w:pPr>
      <w:r>
        <w:t>1. Настоящее Соглашение применяется в отношении трудящихся и членов семьи.</w:t>
      </w:r>
    </w:p>
    <w:p w:rsidR="00B57554" w:rsidRDefault="00B57554">
      <w:pPr>
        <w:pStyle w:val="point"/>
      </w:pPr>
      <w:r>
        <w:t>2. Настоящее Соглашение распространяется на следующие пенсии:</w:t>
      </w:r>
    </w:p>
    <w:p w:rsidR="00B57554" w:rsidRDefault="00B57554">
      <w:pPr>
        <w:pStyle w:val="underpoint"/>
      </w:pPr>
      <w:r>
        <w:t>2.1. В Республике Армения:</w:t>
      </w:r>
    </w:p>
    <w:p w:rsidR="00B57554" w:rsidRDefault="00B57554">
      <w:pPr>
        <w:pStyle w:val="point"/>
      </w:pPr>
      <w:r>
        <w:t>1) трудовая пенсия:</w:t>
      </w:r>
    </w:p>
    <w:p w:rsidR="00B57554" w:rsidRDefault="00B57554">
      <w:pPr>
        <w:pStyle w:val="newncpi"/>
      </w:pPr>
      <w:r>
        <w:t>по возрасту;</w:t>
      </w:r>
    </w:p>
    <w:p w:rsidR="00B57554" w:rsidRDefault="00B57554">
      <w:pPr>
        <w:pStyle w:val="newncpi"/>
      </w:pPr>
      <w:r>
        <w:t>на льготных условиях;</w:t>
      </w:r>
    </w:p>
    <w:p w:rsidR="00B57554" w:rsidRDefault="00B57554">
      <w:pPr>
        <w:pStyle w:val="newncpi"/>
      </w:pPr>
      <w:r>
        <w:t>за выслугу лет;</w:t>
      </w:r>
    </w:p>
    <w:p w:rsidR="00B57554" w:rsidRDefault="00B57554">
      <w:pPr>
        <w:pStyle w:val="newncpi"/>
      </w:pPr>
      <w:r>
        <w:t>по инвалидности;</w:t>
      </w:r>
    </w:p>
    <w:p w:rsidR="00B57554" w:rsidRDefault="00B57554">
      <w:pPr>
        <w:pStyle w:val="newncpi"/>
      </w:pPr>
      <w:r>
        <w:t>по случаю потери кормильца;</w:t>
      </w:r>
    </w:p>
    <w:p w:rsidR="00B57554" w:rsidRDefault="00B57554">
      <w:pPr>
        <w:pStyle w:val="newncpi"/>
      </w:pPr>
      <w:r>
        <w:t>частичная;</w:t>
      </w:r>
    </w:p>
    <w:p w:rsidR="00B57554" w:rsidRDefault="00B57554">
      <w:pPr>
        <w:pStyle w:val="point"/>
      </w:pPr>
      <w:r>
        <w:t>2) обязательная накопительная пенсия:</w:t>
      </w:r>
    </w:p>
    <w:p w:rsidR="00B57554" w:rsidRDefault="00B57554">
      <w:pPr>
        <w:pStyle w:val="newncpi"/>
      </w:pPr>
      <w:r>
        <w:t>аннуитет;</w:t>
      </w:r>
    </w:p>
    <w:p w:rsidR="00B57554" w:rsidRDefault="00B57554">
      <w:pPr>
        <w:pStyle w:val="newncpi"/>
      </w:pPr>
      <w:r>
        <w:t>программная выплата;</w:t>
      </w:r>
    </w:p>
    <w:p w:rsidR="00B57554" w:rsidRDefault="00B57554">
      <w:pPr>
        <w:pStyle w:val="newncpi"/>
      </w:pPr>
      <w:r>
        <w:t>единовременная выплата;</w:t>
      </w:r>
    </w:p>
    <w:p w:rsidR="00B57554" w:rsidRDefault="00B57554">
      <w:pPr>
        <w:pStyle w:val="newncpi"/>
      </w:pPr>
      <w:r>
        <w:t>единовременная выплата наследникам.</w:t>
      </w:r>
    </w:p>
    <w:p w:rsidR="00B57554" w:rsidRDefault="00B57554">
      <w:pPr>
        <w:pStyle w:val="newncpi"/>
      </w:pPr>
      <w:r>
        <w:t>При этом обязательная накопительная пенсия в Республике Армения назначается и выплачивается в соответствии с законодательством Республики Армения.</w:t>
      </w:r>
    </w:p>
    <w:p w:rsidR="00B57554" w:rsidRDefault="00B57554">
      <w:pPr>
        <w:pStyle w:val="underpoint"/>
      </w:pPr>
      <w:r>
        <w:t>2.2. В Республике Беларусь:</w:t>
      </w:r>
    </w:p>
    <w:p w:rsidR="00B57554" w:rsidRDefault="00B57554">
      <w:pPr>
        <w:pStyle w:val="newncpi"/>
      </w:pPr>
      <w:r>
        <w:t>трудовая пенсия:</w:t>
      </w:r>
    </w:p>
    <w:p w:rsidR="00B57554" w:rsidRDefault="00B57554">
      <w:pPr>
        <w:pStyle w:val="newncpi"/>
      </w:pPr>
      <w:r>
        <w:t>по возрасту;</w:t>
      </w:r>
    </w:p>
    <w:p w:rsidR="00B57554" w:rsidRDefault="00B57554">
      <w:pPr>
        <w:pStyle w:val="newncpi"/>
      </w:pPr>
      <w:r>
        <w:t>за выслугу лет (кроме пенсий военнослужащих, приравненных к ним лиц, членов их семей и государственных служащих);</w:t>
      </w:r>
    </w:p>
    <w:p w:rsidR="00B57554" w:rsidRDefault="00B57554">
      <w:pPr>
        <w:pStyle w:val="newncpi"/>
      </w:pPr>
      <w:r>
        <w:t>по инвалидности;</w:t>
      </w:r>
    </w:p>
    <w:p w:rsidR="00B57554" w:rsidRDefault="00B57554">
      <w:pPr>
        <w:pStyle w:val="newncpi"/>
      </w:pPr>
      <w:r>
        <w:t>по случаю потери кормильца.</w:t>
      </w:r>
    </w:p>
    <w:p w:rsidR="00B57554" w:rsidRDefault="00B57554">
      <w:pPr>
        <w:pStyle w:val="underpoint"/>
      </w:pPr>
      <w:r>
        <w:t>2.3. В Республике Казахстан:</w:t>
      </w:r>
    </w:p>
    <w:p w:rsidR="00B57554" w:rsidRDefault="00B57554">
      <w:pPr>
        <w:pStyle w:val="newncpi"/>
      </w:pPr>
      <w:r>
        <w:t>пенсионные выплаты из единого накопительного пенсионного фонда за счет сформированных пенсионных взносов:</w:t>
      </w:r>
    </w:p>
    <w:p w:rsidR="00B57554" w:rsidRDefault="00B57554">
      <w:pPr>
        <w:pStyle w:val="newncpi"/>
      </w:pPr>
      <w:r>
        <w:t>по достижении пенсионного возраста;</w:t>
      </w:r>
    </w:p>
    <w:p w:rsidR="00B57554" w:rsidRDefault="00B57554">
      <w:pPr>
        <w:pStyle w:val="newncpi"/>
      </w:pPr>
      <w:r>
        <w:t>при установлении инвалидности первой и второй групп, если инвалидность установлена бессрочно;</w:t>
      </w:r>
    </w:p>
    <w:p w:rsidR="00B57554" w:rsidRDefault="00B57554">
      <w:pPr>
        <w:pStyle w:val="newncpi"/>
      </w:pPr>
      <w:r>
        <w:t>единовременная выплата наследникам.</w:t>
      </w:r>
    </w:p>
    <w:p w:rsidR="00B57554" w:rsidRDefault="00B57554">
      <w:pPr>
        <w:pStyle w:val="underpoint"/>
      </w:pPr>
      <w:r>
        <w:t>2.4. В Кыргызской Республике:</w:t>
      </w:r>
    </w:p>
    <w:p w:rsidR="00B57554" w:rsidRDefault="00B57554">
      <w:pPr>
        <w:pStyle w:val="point"/>
      </w:pPr>
      <w:r>
        <w:t>1) пенсии по государственному социальному страхованию:</w:t>
      </w:r>
    </w:p>
    <w:p w:rsidR="00B57554" w:rsidRDefault="00B57554">
      <w:pPr>
        <w:pStyle w:val="newncpi"/>
      </w:pPr>
      <w:r>
        <w:t>по возрасту;</w:t>
      </w:r>
    </w:p>
    <w:p w:rsidR="00B57554" w:rsidRDefault="00B57554">
      <w:pPr>
        <w:pStyle w:val="newncpi"/>
      </w:pPr>
      <w:r>
        <w:t>по инвалидности;</w:t>
      </w:r>
    </w:p>
    <w:p w:rsidR="00B57554" w:rsidRDefault="00B57554">
      <w:pPr>
        <w:pStyle w:val="newncpi"/>
      </w:pPr>
      <w:r>
        <w:t>по случаю потери кормильца;</w:t>
      </w:r>
    </w:p>
    <w:p w:rsidR="00B57554" w:rsidRDefault="00B57554">
      <w:pPr>
        <w:pStyle w:val="point"/>
      </w:pPr>
      <w:r>
        <w:t>2) накопительная часть пенсии из средств государственного накопительного пенсионного фонда;</w:t>
      </w:r>
    </w:p>
    <w:p w:rsidR="00B57554" w:rsidRDefault="00B57554">
      <w:pPr>
        <w:pStyle w:val="point"/>
      </w:pPr>
      <w:r>
        <w:t>3) выплаты за счет средств пенсионных накоплений из средств государственного накопительного пенсионного фонда.</w:t>
      </w:r>
    </w:p>
    <w:p w:rsidR="00B57554" w:rsidRDefault="00B57554">
      <w:pPr>
        <w:pStyle w:val="underpoint"/>
      </w:pPr>
      <w:r>
        <w:t>2.5. В Российской Федерации:</w:t>
      </w:r>
    </w:p>
    <w:p w:rsidR="00B57554" w:rsidRDefault="00B57554">
      <w:pPr>
        <w:pStyle w:val="point"/>
      </w:pPr>
      <w:r>
        <w:t>1) страховая пенсия:</w:t>
      </w:r>
    </w:p>
    <w:p w:rsidR="00B57554" w:rsidRDefault="00B57554">
      <w:pPr>
        <w:pStyle w:val="newncpi"/>
      </w:pPr>
      <w:r>
        <w:t>по старости;</w:t>
      </w:r>
    </w:p>
    <w:p w:rsidR="00B57554" w:rsidRDefault="00B57554">
      <w:pPr>
        <w:pStyle w:val="newncpi"/>
      </w:pPr>
      <w:r>
        <w:t>по инвалидности;</w:t>
      </w:r>
    </w:p>
    <w:p w:rsidR="00B57554" w:rsidRDefault="00B57554">
      <w:pPr>
        <w:pStyle w:val="newncpi"/>
      </w:pPr>
      <w:r>
        <w:t>по случаю потери кормильца;</w:t>
      </w:r>
    </w:p>
    <w:p w:rsidR="00B57554" w:rsidRDefault="00B57554">
      <w:pPr>
        <w:pStyle w:val="point"/>
      </w:pPr>
      <w:r>
        <w:t>2) фиксированная выплата к страховой пенсии, повышение и (или) увеличение фиксированной выплаты к страховой пенсии и доплата к страховой пенсии, если иное не предусмотрено настоящим Соглашением;</w:t>
      </w:r>
    </w:p>
    <w:p w:rsidR="00B57554" w:rsidRDefault="00B57554">
      <w:pPr>
        <w:pStyle w:val="point"/>
      </w:pPr>
      <w:r>
        <w:t>3) накопительная пенсия и иные выплаты за счет средств пенсионных накоплений.</w:t>
      </w:r>
    </w:p>
    <w:p w:rsidR="00B57554" w:rsidRDefault="00B57554">
      <w:pPr>
        <w:pStyle w:val="point"/>
      </w:pPr>
      <w:r>
        <w:t>3. Иные виды пенсий (пособий) назначаются и выплачиваются в соответствии с законодательством государства проживания трудящегося (члена семьи).</w:t>
      </w:r>
    </w:p>
    <w:p w:rsidR="00B57554" w:rsidRDefault="00B57554">
      <w:pPr>
        <w:pStyle w:val="point"/>
      </w:pPr>
      <w:r>
        <w:t>4. Настоящее Соглашение применяется также к отношениям, регулируемым законодательством о пенсионном обеспечении, которое изменяет и (или) дополняет положения, указанные в пункте 2 настоящей статьи, и не противоречит нормам настоящего Соглашения.</w:t>
      </w:r>
    </w:p>
    <w:p w:rsidR="00B57554" w:rsidRDefault="00B57554">
      <w:pPr>
        <w:pStyle w:val="articlect"/>
      </w:pPr>
      <w:r>
        <w:t>Статья 3</w:t>
      </w:r>
      <w:r>
        <w:br/>
        <w:t>Равные права трудящихся</w:t>
      </w:r>
    </w:p>
    <w:p w:rsidR="00B57554" w:rsidRDefault="00B57554">
      <w:pPr>
        <w:pStyle w:val="point"/>
      </w:pPr>
      <w:r>
        <w:t>1. Формирование пенсионных прав трудящихся осуществляется за счет пенсионных взносов на тех же условиях и в том же порядке, что и формирование пенсионных прав граждан государства трудоустройства.</w:t>
      </w:r>
    </w:p>
    <w:p w:rsidR="00B57554" w:rsidRDefault="00B57554">
      <w:pPr>
        <w:pStyle w:val="point"/>
      </w:pPr>
      <w:r>
        <w:t>2. Реализация права на назначение и выплату трудящимся (членам семьи) пенсии осуществляется на тех же условиях, что и для граждан государства трудоустройства.</w:t>
      </w:r>
    </w:p>
    <w:p w:rsidR="00B57554" w:rsidRDefault="00B57554">
      <w:pPr>
        <w:pStyle w:val="point"/>
      </w:pPr>
      <w:r>
        <w:t>3. Трудящийся (член семьи) имеет право обратиться за назначением и выплатой пенсии в компетентный орган государства проживания и (или) в компетентный орган государства трудоустройства.</w:t>
      </w:r>
    </w:p>
    <w:p w:rsidR="00B57554" w:rsidRDefault="00B57554">
      <w:pPr>
        <w:pStyle w:val="newncpi"/>
      </w:pPr>
      <w:r>
        <w:t>Дата подачи заявления и других документов в целях пенсионного обеспечения в компетентный орган одного государства-члена считается датой их подачи в компетентный орган другого государства-члена.</w:t>
      </w:r>
    </w:p>
    <w:p w:rsidR="00B57554" w:rsidRDefault="00B57554">
      <w:pPr>
        <w:pStyle w:val="newncpi"/>
      </w:pPr>
      <w:r>
        <w:t>Срок пересылки документов между компетентными органами в рамках реализации настоящего Соглашения не включается в срок рассмотрения заявления и принятия решения об установлении пенсии.</w:t>
      </w:r>
    </w:p>
    <w:p w:rsidR="00B57554" w:rsidRDefault="00B57554">
      <w:pPr>
        <w:pStyle w:val="point"/>
      </w:pPr>
      <w:r>
        <w:t>4. Трудящемуся (члену семьи) не может быть отказано в назначении и выплате пенсии на основании местожительства на территории другого государства-члена, если иное не установлено настоящим Соглашением.</w:t>
      </w:r>
    </w:p>
    <w:p w:rsidR="00B57554" w:rsidRDefault="00B57554">
      <w:pPr>
        <w:pStyle w:val="articlect"/>
      </w:pPr>
      <w:r>
        <w:t>Статья 4</w:t>
      </w:r>
      <w:r>
        <w:br/>
        <w:t>Равенство территорий и экспорт пенсии</w:t>
      </w:r>
    </w:p>
    <w:p w:rsidR="00B57554" w:rsidRDefault="00B57554">
      <w:pPr>
        <w:pStyle w:val="point"/>
      </w:pPr>
      <w:r>
        <w:t>1. Пенсии выплачиваются компетентными органами, в том числе в случае проживания трудящегося (члена семьи) на территории другого государства-члена.</w:t>
      </w:r>
    </w:p>
    <w:p w:rsidR="00B57554" w:rsidRDefault="00B57554">
      <w:pPr>
        <w:pStyle w:val="newncpi"/>
      </w:pPr>
      <w:r>
        <w:t>Трудящийся (член семьи) имеет право на получение пенсии на территории государства проживания либо государства-члена, назначившего пенсию.</w:t>
      </w:r>
    </w:p>
    <w:p w:rsidR="00B57554" w:rsidRDefault="00B57554">
      <w:pPr>
        <w:pStyle w:val="point"/>
      </w:pPr>
      <w:r>
        <w:t>2. Размеры пенсий не могут быть уменьшены, их выплата не может быть приостановлена или прекращена на основании местожительства трудящегося (члена семьи) на территории другого государства-члена, если иное не установлено настоящим Соглашением.</w:t>
      </w:r>
    </w:p>
    <w:p w:rsidR="00B57554" w:rsidRDefault="00B57554">
      <w:pPr>
        <w:pStyle w:val="point"/>
      </w:pPr>
      <w:r>
        <w:t>3. Положения абзаца первого пункта 1 и пункта 2 настоящей статьи не распространяются на выплаты (доплаты), которые в соответствии с законодательством государства-члена устанавливаются с учетом местожительства трудящегося (члена семьи) на территории этого государства-члена.</w:t>
      </w:r>
    </w:p>
    <w:p w:rsidR="00B57554" w:rsidRDefault="00B57554">
      <w:pPr>
        <w:pStyle w:val="point"/>
      </w:pPr>
      <w:r>
        <w:t>4. Следующие денежные выплаты производятся только при условии проживания трудящегося на территории соответствующего государства-члена:</w:t>
      </w:r>
    </w:p>
    <w:p w:rsidR="00B57554" w:rsidRDefault="00B57554">
      <w:pPr>
        <w:pStyle w:val="point"/>
      </w:pPr>
      <w:r>
        <w:t>1) в Республике Армения – основная пенсия как часть трудовой пенсии и надбавки к пенсиям;</w:t>
      </w:r>
    </w:p>
    <w:p w:rsidR="00B57554" w:rsidRDefault="00B57554">
      <w:pPr>
        <w:pStyle w:val="point"/>
      </w:pPr>
      <w:r>
        <w:t>2) в Республике Беларусь – часть пенсии, исчисленная исходя из учтенных в соответствии с законодательством периодов иной деятельности и (или) иных периодов без уплаты пенсионных взносов, а также надбавки, выплаты (доплаты) и повышения, устанавливаемые к пенсии;</w:t>
      </w:r>
    </w:p>
    <w:p w:rsidR="00B57554" w:rsidRDefault="00B57554">
      <w:pPr>
        <w:pStyle w:val="point"/>
      </w:pPr>
      <w:r>
        <w:t>3) в Кыргызской Республике – базовая часть пенсии и выплаты за счет средств бюджета Кыргызской Республики;</w:t>
      </w:r>
    </w:p>
    <w:p w:rsidR="00B57554" w:rsidRDefault="00B57554">
      <w:pPr>
        <w:pStyle w:val="point"/>
      </w:pPr>
      <w:r>
        <w:t>4) в Российской Федерации – фиксированная выплата к страховой пенсии, повышение и (или) увеличение фиксированной выплаты к страховой пенсии и доплата к страховой пенсии, валоризация пенсионных прав в денежном выражении.</w:t>
      </w:r>
    </w:p>
    <w:p w:rsidR="00B57554" w:rsidRDefault="00B57554">
      <w:pPr>
        <w:pStyle w:val="point"/>
      </w:pPr>
      <w:r>
        <w:t>5. При установлении доплат и иных выплат, предусмотренных законодательством государства-члена, учитываются пенсии, назначенные трудящемуся (члену семьи) во всех государствах-членах.</w:t>
      </w:r>
    </w:p>
    <w:p w:rsidR="00B57554" w:rsidRDefault="00B57554">
      <w:pPr>
        <w:pStyle w:val="point"/>
      </w:pPr>
      <w:r>
        <w:t>6. При переселении трудящегося (члена семьи) с территории одного государства-члена на территорию другого государства-члена в случае, если трудящимся (членом семьи) было реализовано право на пенсию до переселения, производится ее пересмотр (перерасчет) с применением статьи 12 настоящего Соглашения. При этом право на пенсию за стаж работы, приобретенный после вступления настоящего Соглашения в силу, не пересматривается.</w:t>
      </w:r>
    </w:p>
    <w:p w:rsidR="00B57554" w:rsidRDefault="00B57554">
      <w:pPr>
        <w:pStyle w:val="articlect"/>
      </w:pPr>
      <w:r>
        <w:t>Статья 5</w:t>
      </w:r>
      <w:r>
        <w:br/>
        <w:t>Право члена семьи на пенсию</w:t>
      </w:r>
    </w:p>
    <w:p w:rsidR="00B57554" w:rsidRDefault="00B57554">
      <w:pPr>
        <w:pStyle w:val="point"/>
      </w:pPr>
      <w:r>
        <w:t>1. В случае смерти трудящегося член семьи имеет право на пенсию в соответствии с законодательством государств-членов.</w:t>
      </w:r>
    </w:p>
    <w:p w:rsidR="00B57554" w:rsidRDefault="00B57554">
      <w:pPr>
        <w:pStyle w:val="point"/>
      </w:pPr>
      <w:r>
        <w:t>2. При определении права на пенсию, размер которой в соответствии с законодательством государства-члена, назначающего пенсию, зависит от количества членов семьи, учитываются все члены семьи.</w:t>
      </w:r>
    </w:p>
    <w:p w:rsidR="00B57554" w:rsidRDefault="00B57554">
      <w:pPr>
        <w:pStyle w:val="articlect"/>
      </w:pPr>
      <w:r>
        <w:t>Статья 6</w:t>
      </w:r>
      <w:r>
        <w:br/>
        <w:t>Реализация права на пенсию</w:t>
      </w:r>
    </w:p>
    <w:p w:rsidR="00B57554" w:rsidRDefault="00B57554">
      <w:pPr>
        <w:pStyle w:val="point"/>
      </w:pPr>
      <w:r>
        <w:t>1. Назначение и выплата пенсии в соответствии с законодательством одного государства-члена не влияют на право трудящегося (члена семьи) на одновременное назначение и выплату пенсии этого и (или) другого вида согласно законодательству другого государства-члена.</w:t>
      </w:r>
    </w:p>
    <w:p w:rsidR="00B57554" w:rsidRDefault="00B57554">
      <w:pPr>
        <w:pStyle w:val="point"/>
      </w:pPr>
      <w:r>
        <w:t>2. Назначение пенсии с учетом положений настоящего Соглашения производится компетентным органом государства-члена при возникновении у трудящегося (члена семьи) права на пенсию в соответствии с законодательством этого государства-члена независимо от даты возникновения у этого трудящегося (члена семьи) права на пенсию согласно законодательству другого государства-члена.</w:t>
      </w:r>
    </w:p>
    <w:p w:rsidR="00B57554" w:rsidRDefault="00B57554">
      <w:pPr>
        <w:pStyle w:val="articlect"/>
      </w:pPr>
      <w:r>
        <w:t>Статья 7</w:t>
      </w:r>
      <w:r>
        <w:br/>
        <w:t>Определение права на пенсию</w:t>
      </w:r>
    </w:p>
    <w:p w:rsidR="00B57554" w:rsidRDefault="00B57554">
      <w:pPr>
        <w:pStyle w:val="point"/>
      </w:pPr>
      <w:r>
        <w:t>1. Каждое государство-член определяет право на пенсию в соответствии со своим законодательством исходя из стажа работы, приобретенного на его территории, с учетом положений настоящего Соглашения.</w:t>
      </w:r>
    </w:p>
    <w:p w:rsidR="00B57554" w:rsidRDefault="00B57554">
      <w:pPr>
        <w:pStyle w:val="point"/>
      </w:pPr>
      <w:r>
        <w:t>2. В случае если стажа работы, приобретенного на территории одного государства-члена, недостаточно для возникновения права на пенсию, то учитывается стаж работы, приобретенный на территориях других государств-членов в соответствии с законодательством каждого из государств-членов, за исключением случаев, когда такой стаж работы совпадает по времени.</w:t>
      </w:r>
    </w:p>
    <w:p w:rsidR="00B57554" w:rsidRDefault="00B57554">
      <w:pPr>
        <w:pStyle w:val="point"/>
      </w:pPr>
      <w:r>
        <w:t>3. В Российской Федерации при определении права на пенсию в соответствии с пунктом 1 настоящей статьи величина индивидуального пенсионного коэффициента определяется за периоды стажа работы, приобретенного на территории Российской Федерации, а также на территории бывшего Союза Советских Социалистических Республик.</w:t>
      </w:r>
    </w:p>
    <w:p w:rsidR="00B57554" w:rsidRDefault="00B57554">
      <w:pPr>
        <w:pStyle w:val="newncpi"/>
      </w:pPr>
      <w:r>
        <w:t>В случае если величины индивидуального пенсионного коэффициента, определенной в соответствии с абзацем первым настоящего пункта, недостаточно для возникновения права на пенсию, то учитывается величина индивидуального пенсионного коэффициента, равная 1 за 1 год стажа работы, приобретенного на территориях государств-членов. При этом 1 месяц стажа работы составляет 1/12 часть коэффициента за полный календарный год, а 1 день – 1/360 часть коэффициента за полный календарный год.</w:t>
      </w:r>
    </w:p>
    <w:p w:rsidR="00B57554" w:rsidRDefault="00B57554">
      <w:pPr>
        <w:pStyle w:val="point"/>
      </w:pPr>
      <w:r>
        <w:t>4. При определении права на пенсию в связи с работой по определенной специальности, на определенной должности или в определенных условиях труда и организациях в соответствии с законодательством одного государства-члена аналогичный стаж работы, приобретенный на территории другого государства-члена, со стажем работы, приобретенным на территории первого государства-члена, не суммируется, но учитывается как стаж работы на общих основаниях.</w:t>
      </w:r>
    </w:p>
    <w:p w:rsidR="00B57554" w:rsidRDefault="00B57554">
      <w:pPr>
        <w:pStyle w:val="point"/>
      </w:pPr>
      <w:r>
        <w:t>5. Право на пенсию, за исключением накопительной пенсии, а также трудовых (страховых) пенсий по инвалидности и по случаю потери кормильца, в соответствии с настоящим Соглашением возникает при наличии не менее 12 полных месяцев стажа работы, приобретенного на территории государства-члена, согласно законодательству которого трудящийся (член семьи) претендует на назначение пенсии.</w:t>
      </w:r>
    </w:p>
    <w:p w:rsidR="00B57554" w:rsidRDefault="00B57554">
      <w:pPr>
        <w:pStyle w:val="newncpi"/>
      </w:pPr>
      <w:r>
        <w:t>Право на накопительную пенсию, а также на трудовую (страховую) пенсию по инвалидности, по случаю потери кормильца устанавливается в соответствии с законодательством государства-члена.</w:t>
      </w:r>
    </w:p>
    <w:p w:rsidR="00B57554" w:rsidRDefault="00B57554">
      <w:pPr>
        <w:pStyle w:val="articlect"/>
      </w:pPr>
      <w:r>
        <w:t>Статья 8</w:t>
      </w:r>
      <w:r>
        <w:br/>
        <w:t>Исчисление размера пенсии</w:t>
      </w:r>
    </w:p>
    <w:p w:rsidR="00B57554" w:rsidRDefault="00B57554">
      <w:pPr>
        <w:pStyle w:val="newncpi"/>
      </w:pPr>
      <w:r>
        <w:t>Каждое государство-член исчисляет размер пенсии исходя из пенсионных прав, приобретенных в соответствии со своим законодательством, и в порядке, установленном законодательством этого государства-члена, с учетом положений настоящего Соглашения.</w:t>
      </w:r>
    </w:p>
    <w:p w:rsidR="00B57554" w:rsidRDefault="00B57554">
      <w:pPr>
        <w:pStyle w:val="articlect"/>
      </w:pPr>
      <w:r>
        <w:t>Статья 9</w:t>
      </w:r>
      <w:r>
        <w:br/>
        <w:t>Медицинское освидетельствование и установление инвалидности</w:t>
      </w:r>
    </w:p>
    <w:p w:rsidR="00B57554" w:rsidRDefault="00B57554">
      <w:pPr>
        <w:pStyle w:val="point"/>
      </w:pPr>
      <w:r>
        <w:t>1. Медицинское обследование трудящегося (члена семьи) в целях установления инвалидности осуществляется в соответствии с законодательством государства проживания по его местожительству.</w:t>
      </w:r>
    </w:p>
    <w:p w:rsidR="00B57554" w:rsidRDefault="00B57554">
      <w:pPr>
        <w:pStyle w:val="point"/>
      </w:pPr>
      <w:r>
        <w:t>2. Решения о группе, сроке и причине инвалидности (степени ограничения способности к трудовой деятельности) принимаются, в том числе заочно, органом (учреждением), осуществляющим медико-социальную экспертизу (комплексное освидетельствование), того государства-члена, согласно законодательству которого производятся назначение и выплата соответствующей пенсии.</w:t>
      </w:r>
    </w:p>
    <w:p w:rsidR="00B57554" w:rsidRDefault="00B57554">
      <w:pPr>
        <w:pStyle w:val="newncpi"/>
      </w:pPr>
      <w:r>
        <w:t>При необходимости принимаются во внимание справки и медицинские заключения, выданные соответствующими учреждениями других государств-членов.</w:t>
      </w:r>
    </w:p>
    <w:p w:rsidR="00B57554" w:rsidRDefault="00B57554">
      <w:pPr>
        <w:pStyle w:val="newncpi"/>
      </w:pPr>
      <w:r>
        <w:t>Данные решения принимаются на безвозмездной основе.</w:t>
      </w:r>
    </w:p>
    <w:p w:rsidR="00B57554" w:rsidRDefault="00B57554">
      <w:pPr>
        <w:pStyle w:val="articlect"/>
      </w:pPr>
      <w:r>
        <w:t>Статья 10</w:t>
      </w:r>
      <w:r>
        <w:br/>
        <w:t>Сотрудничество государств-членов</w:t>
      </w:r>
    </w:p>
    <w:p w:rsidR="00B57554" w:rsidRDefault="00B57554">
      <w:pPr>
        <w:pStyle w:val="point"/>
      </w:pPr>
      <w:r>
        <w:t>1. Евразийская экономическая комиссия вправе запрашивать у государств-членов информацию, относящуюся к предмету регулирования настоящего Соглашения, а также принимать рекомендации по вопросам применения настоящего Соглашения.</w:t>
      </w:r>
    </w:p>
    <w:p w:rsidR="00B57554" w:rsidRDefault="00B57554">
      <w:pPr>
        <w:pStyle w:val="point"/>
      </w:pPr>
      <w:r>
        <w:t>2. Уполномоченные органы информируют друг друга обо всех изменениях в законодательстве своих государств, касающихся сферы применения настоящего Соглашения.</w:t>
      </w:r>
    </w:p>
    <w:p w:rsidR="00B57554" w:rsidRDefault="00B57554">
      <w:pPr>
        <w:pStyle w:val="point"/>
      </w:pPr>
      <w:r>
        <w:t>3. Уполномоченные органы и компетентные органы взаимодействуют друг с другом (в том числе с использованием интегрированной информационной системы Евразийского экономического союза) по вопросам, связанным с реализацией настоящего Соглашения, на безвозмездной основе.</w:t>
      </w:r>
    </w:p>
    <w:p w:rsidR="00B57554" w:rsidRDefault="00B57554">
      <w:pPr>
        <w:pStyle w:val="newncpi"/>
      </w:pPr>
      <w:r>
        <w:t>Компетентные органы представляют друг другу по запросу или по собственной инициативе необходимые сведения об обстоятельствах, имеющих значение для применения настоящего Соглашения, а также принимают меры по установлению этих обстоятельств.</w:t>
      </w:r>
    </w:p>
    <w:p w:rsidR="00B57554" w:rsidRDefault="00B57554">
      <w:pPr>
        <w:pStyle w:val="point"/>
      </w:pPr>
      <w:r>
        <w:t>4. Компетентные органы информируют друг друга об обстоятельствах, влекущих изменение размера пенсии или прекращение ее выплаты.</w:t>
      </w:r>
    </w:p>
    <w:p w:rsidR="00B57554" w:rsidRDefault="00B57554">
      <w:pPr>
        <w:pStyle w:val="point"/>
      </w:pPr>
      <w:r>
        <w:t>5. Документы, необходимые для установления инвалидности, определения права на пенсию, назначения и выплаты пенсии, выданные в соответствии с законодательством одного государства-члена, признаются другим государством-членом без проведения установленных законодательством этого другого государства-члена процедур признания таких документов.</w:t>
      </w:r>
    </w:p>
    <w:p w:rsidR="00B57554" w:rsidRDefault="00B57554">
      <w:pPr>
        <w:pStyle w:val="newncpi"/>
      </w:pPr>
      <w:r>
        <w:t>Компетентные органы вправе запросить у трудящегося (члена семьи) нотариально заверенный перевод документов на государственный язык государства-члена, назначающего (выплачивающего) пенсию, а также в случае необходимости в целях верификации документов направлять соответствующие запросы либо использовать сведения, полученные путем обращения к информационным базам данных.</w:t>
      </w:r>
    </w:p>
    <w:p w:rsidR="00B57554" w:rsidRDefault="00B57554">
      <w:pPr>
        <w:pStyle w:val="point"/>
      </w:pPr>
      <w:r>
        <w:t>6. Суммы пенсии, излишне выплаченные трудящемуся (члену семьи) компетентным органом одного государства-члена, в случае невозможности самостоятельного удержания в связи с прекращением выплаты пенсии, могут быть удержаны в пользу этого государства-члена из пенсии, предусмотренной пунктом 2 статьи 2 настоящего Соглашения и выплачиваемой компетентным органом другого государства-члена.</w:t>
      </w:r>
    </w:p>
    <w:p w:rsidR="00B57554" w:rsidRDefault="00B57554">
      <w:pPr>
        <w:pStyle w:val="point"/>
      </w:pPr>
      <w:r>
        <w:t>7. Реализация настоящего Соглашения осуществляется в соответствии с порядком взаимодействия между уполномоченными органами, компетентными органами и Евразийской экономической комиссией по применению норм настоящего Соглашения, утверждаемым Советом Евразийской экономической комиссии.</w:t>
      </w:r>
    </w:p>
    <w:p w:rsidR="00B57554" w:rsidRDefault="00B57554">
      <w:pPr>
        <w:pStyle w:val="articlect"/>
      </w:pPr>
      <w:r>
        <w:t>Статья 11</w:t>
      </w:r>
      <w:r>
        <w:br/>
        <w:t>Персональные данные</w:t>
      </w:r>
    </w:p>
    <w:p w:rsidR="00B57554" w:rsidRDefault="00B57554">
      <w:pPr>
        <w:pStyle w:val="newncpi"/>
      </w:pPr>
      <w:r>
        <w:t>Персональные данные передаются в целях реализации настоящего Соглашения и являются сведениями ограниченного распространения (конфиденциальными).</w:t>
      </w:r>
    </w:p>
    <w:p w:rsidR="00B57554" w:rsidRDefault="00B57554">
      <w:pPr>
        <w:pStyle w:val="newncpi"/>
      </w:pPr>
      <w:r>
        <w:t>Обработка уполномоченными органами и компетентными органами персональных данных осуществляется в соответствии с законодательством государства-члена.</w:t>
      </w:r>
    </w:p>
    <w:p w:rsidR="00B57554" w:rsidRDefault="00B57554">
      <w:pPr>
        <w:pStyle w:val="articlect"/>
      </w:pPr>
      <w:r>
        <w:t>Статья 12</w:t>
      </w:r>
      <w:r>
        <w:br/>
        <w:t>Переходные положения</w:t>
      </w:r>
    </w:p>
    <w:p w:rsidR="00B57554" w:rsidRDefault="00B57554">
      <w:pPr>
        <w:pStyle w:val="newncpi"/>
      </w:pPr>
      <w:r>
        <w:t>Назначение и выплата пенсии осуществляются в следующем порядке:</w:t>
      </w:r>
    </w:p>
    <w:p w:rsidR="00B57554" w:rsidRDefault="00B57554">
      <w:pPr>
        <w:pStyle w:val="newncpi"/>
      </w:pPr>
      <w:r>
        <w:t>за стаж работы, приобретенный после вступления настоящего Соглашения в силу, пенсия назначается и выплачивается государством-членом, на территории которого приобретен соответствующий стаж работы;</w:t>
      </w:r>
    </w:p>
    <w:p w:rsidR="00B57554" w:rsidRDefault="00B57554">
      <w:pPr>
        <w:pStyle w:val="newncpi"/>
      </w:pPr>
      <w:r>
        <w:t>за стаж работы, приобретенный до вступления настоящего Соглашения в силу, пенсия назначается и выплачивается в соответствии с законодательством государств-членов и Соглашением о гарантиях прав граждан государств – участников Содружества Независимых Государств в области пенсионного обеспечения от 13 марта 1992 года, а для Республики Беларусь и Российской Федерации – Договором между Российской Федерацией и Республикой Беларусь о сотрудничестве в области социального обеспечения от 24 января 2006 года.</w:t>
      </w:r>
    </w:p>
    <w:p w:rsidR="00B57554" w:rsidRDefault="00B57554">
      <w:pPr>
        <w:pStyle w:val="articlect"/>
      </w:pPr>
      <w:r>
        <w:t>Статья 13</w:t>
      </w:r>
      <w:r>
        <w:br/>
        <w:t>Уполномоченные органы и компетентные органы</w:t>
      </w:r>
    </w:p>
    <w:p w:rsidR="00B57554" w:rsidRDefault="00B57554">
      <w:pPr>
        <w:pStyle w:val="newncpi"/>
      </w:pPr>
      <w:r>
        <w:t>Сведения об уполномоченных органах и компетентных органах представляются государствами-членами в Евразийскую экономическую комиссию при направлении уведомления о выполнении внутригосударственных процедур, необходимых для вступления настоящего Соглашения в силу.</w:t>
      </w:r>
    </w:p>
    <w:p w:rsidR="00B57554" w:rsidRDefault="00B57554">
      <w:pPr>
        <w:pStyle w:val="newncpi"/>
      </w:pPr>
      <w:r>
        <w:t>Государства-члены в месячный срок уведомляют Евразийскую экономическую комиссию об изменении своих уполномоченных органов или компетентных органов.</w:t>
      </w:r>
    </w:p>
    <w:p w:rsidR="00B57554" w:rsidRDefault="00B57554">
      <w:pPr>
        <w:pStyle w:val="articlect"/>
      </w:pPr>
      <w:r>
        <w:t>Статья 14</w:t>
      </w:r>
      <w:r>
        <w:br/>
        <w:t>Заключительные положения</w:t>
      </w:r>
    </w:p>
    <w:p w:rsidR="00B57554" w:rsidRDefault="00B57554">
      <w:pPr>
        <w:pStyle w:val="point"/>
      </w:pPr>
      <w:r>
        <w:t>1. Споры, связанные с применением настоящего Соглашения, разрешаются в порядке, определенном Договором о Евразийском экономическом союзе от 29 мая 2014 года.</w:t>
      </w:r>
    </w:p>
    <w:p w:rsidR="00B57554" w:rsidRDefault="00B57554">
      <w:pPr>
        <w:pStyle w:val="point"/>
      </w:pPr>
      <w:r>
        <w:t>2. По взаимному согласию государств-членов в настоящее Соглашение могут быть внесены изменения, которые оформляются отдельными протоколами.</w:t>
      </w:r>
    </w:p>
    <w:p w:rsidR="00B57554" w:rsidRDefault="00B57554">
      <w:pPr>
        <w:pStyle w:val="point"/>
      </w:pPr>
      <w:r>
        <w:t>3. Настоящее Соглашение является международным договором, заключенным в рамках Евразийского экономического союза, и входит в право Евразийского экономического союза.</w:t>
      </w:r>
    </w:p>
    <w:p w:rsidR="00B57554" w:rsidRDefault="00B57554">
      <w:pPr>
        <w:pStyle w:val="point"/>
        <w:spacing w:after="240"/>
      </w:pPr>
      <w:r>
        <w:t>4. Настоящее Соглашение вступает в силу с даты получения депозитарием по дипломатическим каналам последнего письменного уведомления о выполнении государствами-членами внутригосударственных процедур, необходимых для вступления настоящего Соглашения в силу.</w:t>
      </w:r>
    </w:p>
    <w:p w:rsidR="00B57554" w:rsidRDefault="00B57554">
      <w:pPr>
        <w:pStyle w:val="newncpi"/>
      </w:pPr>
      <w:r>
        <w:t>Совершено в городе Санкт-Петербурге 20 декабря 2019 года в одном подлинном экземпляре на русском языке.</w:t>
      </w:r>
    </w:p>
    <w:p w:rsidR="00B57554" w:rsidRDefault="00B57554">
      <w:pPr>
        <w:pStyle w:val="newncpi"/>
      </w:pPr>
      <w:r>
        <w:t>Подлинный экземпляр настоящего Соглашения хранится в Евразийской экономической комиссии, которая, являясь депозитарием настоящего Соглашения, направит каждому государству-члену его заверенную копию.</w:t>
      </w:r>
    </w:p>
    <w:p w:rsidR="00B57554" w:rsidRDefault="00B57554">
      <w:pPr>
        <w:pStyle w:val="newncpi"/>
      </w:pPr>
      <w:r>
        <w:t> </w:t>
      </w:r>
    </w:p>
    <w:tbl>
      <w:tblPr>
        <w:tblW w:w="5000" w:type="pct"/>
        <w:tblCellMar>
          <w:left w:w="0" w:type="dxa"/>
          <w:right w:w="0" w:type="dxa"/>
        </w:tblCellMar>
        <w:tblLook w:val="04A0" w:firstRow="1" w:lastRow="0" w:firstColumn="1" w:lastColumn="0" w:noHBand="0" w:noVBand="1"/>
      </w:tblPr>
      <w:tblGrid>
        <w:gridCol w:w="1873"/>
        <w:gridCol w:w="1874"/>
        <w:gridCol w:w="1874"/>
        <w:gridCol w:w="1874"/>
        <w:gridCol w:w="1874"/>
      </w:tblGrid>
      <w:tr w:rsidR="00B57554">
        <w:trPr>
          <w:trHeight w:val="238"/>
        </w:trPr>
        <w:tc>
          <w:tcPr>
            <w:tcW w:w="1000" w:type="pct"/>
            <w:tcMar>
              <w:top w:w="0" w:type="dxa"/>
              <w:left w:w="6" w:type="dxa"/>
              <w:bottom w:w="0" w:type="dxa"/>
              <w:right w:w="6" w:type="dxa"/>
            </w:tcMar>
            <w:hideMark/>
          </w:tcPr>
          <w:p w:rsidR="00B57554" w:rsidRDefault="00B57554">
            <w:pPr>
              <w:pStyle w:val="table10"/>
            </w:pPr>
            <w:r>
              <w:rPr>
                <w:rStyle w:val="post"/>
              </w:rPr>
              <w:t>За Республику Армения</w:t>
            </w:r>
          </w:p>
        </w:tc>
        <w:tc>
          <w:tcPr>
            <w:tcW w:w="1000" w:type="pct"/>
            <w:tcMar>
              <w:top w:w="0" w:type="dxa"/>
              <w:left w:w="6" w:type="dxa"/>
              <w:bottom w:w="0" w:type="dxa"/>
              <w:right w:w="6" w:type="dxa"/>
            </w:tcMar>
            <w:hideMark/>
          </w:tcPr>
          <w:p w:rsidR="00B57554" w:rsidRDefault="00B57554">
            <w:pPr>
              <w:pStyle w:val="table10"/>
            </w:pPr>
            <w:r>
              <w:rPr>
                <w:rStyle w:val="post"/>
              </w:rPr>
              <w:t>За Республику Беларусь</w:t>
            </w:r>
          </w:p>
        </w:tc>
        <w:tc>
          <w:tcPr>
            <w:tcW w:w="1000" w:type="pct"/>
            <w:tcMar>
              <w:top w:w="0" w:type="dxa"/>
              <w:left w:w="6" w:type="dxa"/>
              <w:bottom w:w="0" w:type="dxa"/>
              <w:right w:w="6" w:type="dxa"/>
            </w:tcMar>
            <w:hideMark/>
          </w:tcPr>
          <w:p w:rsidR="00B57554" w:rsidRDefault="00B57554">
            <w:pPr>
              <w:pStyle w:val="table10"/>
            </w:pPr>
            <w:r>
              <w:rPr>
                <w:rStyle w:val="post"/>
              </w:rPr>
              <w:t>За Республику Казахстан</w:t>
            </w:r>
          </w:p>
        </w:tc>
        <w:tc>
          <w:tcPr>
            <w:tcW w:w="1000" w:type="pct"/>
            <w:tcMar>
              <w:top w:w="0" w:type="dxa"/>
              <w:left w:w="6" w:type="dxa"/>
              <w:bottom w:w="0" w:type="dxa"/>
              <w:right w:w="6" w:type="dxa"/>
            </w:tcMar>
            <w:hideMark/>
          </w:tcPr>
          <w:p w:rsidR="00B57554" w:rsidRDefault="00B57554">
            <w:pPr>
              <w:pStyle w:val="table10"/>
            </w:pPr>
            <w:r>
              <w:rPr>
                <w:rStyle w:val="post"/>
              </w:rPr>
              <w:t>За Кыргызскую Республику</w:t>
            </w:r>
          </w:p>
        </w:tc>
        <w:tc>
          <w:tcPr>
            <w:tcW w:w="1000" w:type="pct"/>
            <w:tcMar>
              <w:top w:w="0" w:type="dxa"/>
              <w:left w:w="6" w:type="dxa"/>
              <w:bottom w:w="0" w:type="dxa"/>
              <w:right w:w="6" w:type="dxa"/>
            </w:tcMar>
            <w:hideMark/>
          </w:tcPr>
          <w:p w:rsidR="00B57554" w:rsidRDefault="00B57554">
            <w:pPr>
              <w:pStyle w:val="table10"/>
            </w:pPr>
            <w:r>
              <w:rPr>
                <w:rStyle w:val="post"/>
              </w:rPr>
              <w:t>За Российскую Федерацию</w:t>
            </w:r>
          </w:p>
        </w:tc>
      </w:tr>
    </w:tbl>
    <w:p w:rsidR="00B57554" w:rsidRDefault="00B57554">
      <w:pPr>
        <w:pStyle w:val="newncpi"/>
      </w:pPr>
      <w:r>
        <w:t> </w:t>
      </w:r>
    </w:p>
    <w:p w:rsidR="00E6120E" w:rsidRDefault="00E6120E"/>
    <w:sectPr w:rsidR="00E6120E" w:rsidSect="00B57554">
      <w:headerReference w:type="even" r:id="rId7"/>
      <w:headerReference w:type="default" r:id="rId8"/>
      <w:footerReference w:type="first" r:id="rId9"/>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7554" w:rsidRDefault="00B57554" w:rsidP="00B57554">
      <w:pPr>
        <w:spacing w:after="0" w:line="240" w:lineRule="auto"/>
      </w:pPr>
      <w:r>
        <w:separator/>
      </w:r>
    </w:p>
  </w:endnote>
  <w:endnote w:type="continuationSeparator" w:id="0">
    <w:p w:rsidR="00B57554" w:rsidRDefault="00B57554" w:rsidP="00B575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773"/>
    </w:tblGrid>
    <w:tr w:rsidR="00B57554" w:rsidTr="00B57554">
      <w:tc>
        <w:tcPr>
          <w:tcW w:w="1800" w:type="dxa"/>
          <w:shd w:val="clear" w:color="auto" w:fill="auto"/>
          <w:vAlign w:val="center"/>
        </w:tcPr>
        <w:p w:rsidR="00B57554" w:rsidRDefault="00B57554">
          <w:pPr>
            <w:pStyle w:val="a5"/>
          </w:pPr>
        </w:p>
      </w:tc>
      <w:tc>
        <w:tcPr>
          <w:tcW w:w="7773" w:type="dxa"/>
          <w:shd w:val="clear" w:color="auto" w:fill="auto"/>
          <w:vAlign w:val="center"/>
        </w:tcPr>
        <w:p w:rsidR="00B57554" w:rsidRPr="00B57554" w:rsidRDefault="00B57554">
          <w:pPr>
            <w:pStyle w:val="a5"/>
            <w:rPr>
              <w:rFonts w:ascii="Times New Roman" w:hAnsi="Times New Roman" w:cs="Times New Roman"/>
              <w:i/>
              <w:sz w:val="24"/>
            </w:rPr>
          </w:pPr>
        </w:p>
      </w:tc>
    </w:tr>
  </w:tbl>
  <w:p w:rsidR="00B57554" w:rsidRDefault="00B57554">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7554" w:rsidRDefault="00B57554" w:rsidP="00B57554">
      <w:pPr>
        <w:spacing w:after="0" w:line="240" w:lineRule="auto"/>
      </w:pPr>
      <w:r>
        <w:separator/>
      </w:r>
    </w:p>
  </w:footnote>
  <w:footnote w:type="continuationSeparator" w:id="0">
    <w:p w:rsidR="00B57554" w:rsidRDefault="00B57554" w:rsidP="00B575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54" w:rsidRDefault="00B57554" w:rsidP="00B93986">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B57554" w:rsidRDefault="00B5755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554" w:rsidRPr="00B57554" w:rsidRDefault="00B57554" w:rsidP="00B93986">
    <w:pPr>
      <w:pStyle w:val="a3"/>
      <w:framePr w:wrap="around" w:vAnchor="text" w:hAnchor="margin" w:xAlign="center" w:y="1"/>
      <w:rPr>
        <w:rStyle w:val="a7"/>
        <w:rFonts w:ascii="Times New Roman" w:hAnsi="Times New Roman" w:cs="Times New Roman"/>
        <w:sz w:val="24"/>
      </w:rPr>
    </w:pPr>
    <w:r w:rsidRPr="00B57554">
      <w:rPr>
        <w:rStyle w:val="a7"/>
        <w:rFonts w:ascii="Times New Roman" w:hAnsi="Times New Roman" w:cs="Times New Roman"/>
        <w:sz w:val="24"/>
      </w:rPr>
      <w:fldChar w:fldCharType="begin"/>
    </w:r>
    <w:r w:rsidRPr="00B57554">
      <w:rPr>
        <w:rStyle w:val="a7"/>
        <w:rFonts w:ascii="Times New Roman" w:hAnsi="Times New Roman" w:cs="Times New Roman"/>
        <w:sz w:val="24"/>
      </w:rPr>
      <w:instrText xml:space="preserve">PAGE  </w:instrText>
    </w:r>
    <w:r w:rsidRPr="00B57554">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B57554">
      <w:rPr>
        <w:rStyle w:val="a7"/>
        <w:rFonts w:ascii="Times New Roman" w:hAnsi="Times New Roman" w:cs="Times New Roman"/>
        <w:sz w:val="24"/>
      </w:rPr>
      <w:fldChar w:fldCharType="end"/>
    </w:r>
  </w:p>
  <w:p w:rsidR="00B57554" w:rsidRPr="00B57554" w:rsidRDefault="00B57554">
    <w:pPr>
      <w:pStyle w:val="a3"/>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visionView w:markup="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54"/>
    <w:rsid w:val="00B57554"/>
    <w:rsid w:val="00E612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5755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B5755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5755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B57554"/>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B5755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rticlect">
    <w:name w:val="articlect"/>
    <w:basedOn w:val="a"/>
    <w:rsid w:val="00B57554"/>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B57554"/>
    <w:rPr>
      <w:rFonts w:ascii="Times New Roman" w:hAnsi="Times New Roman" w:cs="Times New Roman" w:hint="default"/>
      <w:b/>
      <w:bCs/>
      <w:sz w:val="22"/>
      <w:szCs w:val="22"/>
    </w:rPr>
  </w:style>
  <w:style w:type="paragraph" w:styleId="a3">
    <w:name w:val="header"/>
    <w:basedOn w:val="a"/>
    <w:link w:val="a4"/>
    <w:uiPriority w:val="99"/>
    <w:unhideWhenUsed/>
    <w:rsid w:val="00B575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7554"/>
  </w:style>
  <w:style w:type="paragraph" w:styleId="a5">
    <w:name w:val="footer"/>
    <w:basedOn w:val="a"/>
    <w:link w:val="a6"/>
    <w:uiPriority w:val="99"/>
    <w:unhideWhenUsed/>
    <w:rsid w:val="00B575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7554"/>
  </w:style>
  <w:style w:type="character" w:styleId="a7">
    <w:name w:val="page number"/>
    <w:basedOn w:val="a0"/>
    <w:uiPriority w:val="99"/>
    <w:semiHidden/>
    <w:unhideWhenUsed/>
    <w:rsid w:val="00B57554"/>
  </w:style>
  <w:style w:type="table" w:styleId="a8">
    <w:name w:val="Table Grid"/>
    <w:basedOn w:val="a1"/>
    <w:uiPriority w:val="59"/>
    <w:rsid w:val="00B5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ncpi">
    <w:name w:val="titlencpi"/>
    <w:basedOn w:val="a"/>
    <w:rsid w:val="00B57554"/>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point">
    <w:name w:val="point"/>
    <w:basedOn w:val="a"/>
    <w:rsid w:val="00B5755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B5755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table10">
    <w:name w:val="table10"/>
    <w:basedOn w:val="a"/>
    <w:rsid w:val="00B57554"/>
    <w:pPr>
      <w:spacing w:after="0" w:line="240" w:lineRule="auto"/>
    </w:pPr>
    <w:rPr>
      <w:rFonts w:ascii="Times New Roman" w:eastAsiaTheme="minorEastAsia" w:hAnsi="Times New Roman" w:cs="Times New Roman"/>
      <w:sz w:val="20"/>
      <w:szCs w:val="20"/>
      <w:lang w:eastAsia="ru-RU"/>
    </w:rPr>
  </w:style>
  <w:style w:type="paragraph" w:customStyle="1" w:styleId="newncpi">
    <w:name w:val="newncpi"/>
    <w:basedOn w:val="a"/>
    <w:rsid w:val="00B57554"/>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articlect">
    <w:name w:val="articlect"/>
    <w:basedOn w:val="a"/>
    <w:rsid w:val="00B57554"/>
    <w:pPr>
      <w:spacing w:before="240" w:after="240" w:line="240" w:lineRule="auto"/>
      <w:jc w:val="center"/>
    </w:pPr>
    <w:rPr>
      <w:rFonts w:ascii="Times New Roman" w:eastAsiaTheme="minorEastAsia" w:hAnsi="Times New Roman" w:cs="Times New Roman"/>
      <w:b/>
      <w:bCs/>
      <w:sz w:val="24"/>
      <w:szCs w:val="24"/>
      <w:lang w:eastAsia="ru-RU"/>
    </w:rPr>
  </w:style>
  <w:style w:type="character" w:customStyle="1" w:styleId="post">
    <w:name w:val="post"/>
    <w:basedOn w:val="a0"/>
    <w:rsid w:val="00B57554"/>
    <w:rPr>
      <w:rFonts w:ascii="Times New Roman" w:hAnsi="Times New Roman" w:cs="Times New Roman" w:hint="default"/>
      <w:b/>
      <w:bCs/>
      <w:sz w:val="22"/>
      <w:szCs w:val="22"/>
    </w:rPr>
  </w:style>
  <w:style w:type="paragraph" w:styleId="a3">
    <w:name w:val="header"/>
    <w:basedOn w:val="a"/>
    <w:link w:val="a4"/>
    <w:uiPriority w:val="99"/>
    <w:unhideWhenUsed/>
    <w:rsid w:val="00B57554"/>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B57554"/>
  </w:style>
  <w:style w:type="paragraph" w:styleId="a5">
    <w:name w:val="footer"/>
    <w:basedOn w:val="a"/>
    <w:link w:val="a6"/>
    <w:uiPriority w:val="99"/>
    <w:unhideWhenUsed/>
    <w:rsid w:val="00B57554"/>
    <w:pPr>
      <w:tabs>
        <w:tab w:val="center" w:pos="4677"/>
        <w:tab w:val="right" w:pos="9355"/>
      </w:tabs>
      <w:spacing w:after="0" w:line="240" w:lineRule="auto"/>
    </w:pPr>
  </w:style>
  <w:style w:type="character" w:customStyle="1" w:styleId="a6">
    <w:name w:val="Нижний колонтитул Знак"/>
    <w:basedOn w:val="a0"/>
    <w:link w:val="a5"/>
    <w:uiPriority w:val="99"/>
    <w:rsid w:val="00B57554"/>
  </w:style>
  <w:style w:type="character" w:styleId="a7">
    <w:name w:val="page number"/>
    <w:basedOn w:val="a0"/>
    <w:uiPriority w:val="99"/>
    <w:semiHidden/>
    <w:unhideWhenUsed/>
    <w:rsid w:val="00B57554"/>
  </w:style>
  <w:style w:type="table" w:styleId="a8">
    <w:name w:val="Table Grid"/>
    <w:basedOn w:val="a1"/>
    <w:uiPriority w:val="59"/>
    <w:rsid w:val="00B575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8</Pages>
  <Words>2293</Words>
  <Characters>17062</Characters>
  <Application>Microsoft Office Word</Application>
  <DocSecurity>0</DocSecurity>
  <Lines>348</Lines>
  <Paragraphs>161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2026-01-28T08:40:00Z</dcterms:created>
  <dcterms:modified xsi:type="dcterms:W3CDTF">2026-01-28T08:43:00Z</dcterms:modified>
</cp:coreProperties>
</file>